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58EA" w14:textId="12E91615" w:rsidR="002C7F8D" w:rsidRPr="008549C6" w:rsidRDefault="002C7F8D" w:rsidP="002C7F8D">
      <w:pPr>
        <w:pStyle w:val="tytu01"/>
        <w:rPr>
          <w:rFonts w:asciiTheme="minorHAnsi" w:hAnsiTheme="minorHAnsi" w:cstheme="minorHAnsi"/>
          <w:b w:val="0"/>
          <w:sz w:val="20"/>
          <w:szCs w:val="20"/>
        </w:rPr>
      </w:pPr>
      <w:r w:rsidRPr="008549C6">
        <w:rPr>
          <w:rFonts w:asciiTheme="minorHAnsi" w:hAnsiTheme="minorHAnsi" w:cstheme="minorHAnsi"/>
          <w:b w:val="0"/>
          <w:sz w:val="20"/>
          <w:szCs w:val="20"/>
        </w:rPr>
        <w:t>Wymagania edukacyjne z fizyki dla klasy 8 szkoły podstawowej, spójne z Programem  nauczania fizyki w szkole podstawowej -</w:t>
      </w:r>
      <w:r w:rsidRPr="008549C6">
        <w:rPr>
          <w:rFonts w:asciiTheme="minorHAnsi" w:hAnsiTheme="minorHAnsi" w:cstheme="minorHAnsi"/>
          <w:sz w:val="20"/>
          <w:szCs w:val="20"/>
        </w:rPr>
        <w:t xml:space="preserve"> </w:t>
      </w:r>
      <w:r w:rsidRPr="008549C6">
        <w:rPr>
          <w:rFonts w:asciiTheme="minorHAnsi" w:hAnsiTheme="minorHAnsi" w:cstheme="minorHAnsi"/>
          <w:b w:val="0"/>
          <w:sz w:val="20"/>
          <w:szCs w:val="20"/>
        </w:rPr>
        <w:t>Świat fizyki. Podręcznik. Klasa 8, autorstwa Barbary Saganowskiej, wydawnictwo WSiP</w:t>
      </w:r>
    </w:p>
    <w:p w14:paraId="4E72E10C" w14:textId="77777777" w:rsidR="002C7F8D" w:rsidRPr="008549C6" w:rsidRDefault="002C7F8D" w:rsidP="002C7F8D">
      <w:pPr>
        <w:pStyle w:val="tytu01"/>
        <w:rPr>
          <w:rFonts w:asciiTheme="minorHAnsi" w:hAnsiTheme="minorHAnsi" w:cstheme="minorHAnsi"/>
          <w:b w:val="0"/>
          <w:sz w:val="20"/>
          <w:szCs w:val="20"/>
        </w:rPr>
      </w:pPr>
      <w:r w:rsidRPr="008549C6">
        <w:rPr>
          <w:rFonts w:asciiTheme="minorHAnsi" w:hAnsiTheme="minorHAnsi" w:cstheme="minorHAnsi"/>
          <w:b w:val="0"/>
          <w:sz w:val="20"/>
          <w:szCs w:val="20"/>
        </w:rPr>
        <w:t xml:space="preserve">Uwaga: szczegółowe warunki i sposób oceniania określone są w Statucie  Szkoły </w:t>
      </w:r>
    </w:p>
    <w:p w14:paraId="06F3E04B" w14:textId="0A83849A" w:rsidR="0022150A" w:rsidRPr="008549C6" w:rsidRDefault="0022150A" w:rsidP="0022150A">
      <w:pPr>
        <w:pStyle w:val="tytu01"/>
        <w:rPr>
          <w:rFonts w:asciiTheme="minorHAnsi" w:hAnsiTheme="minorHAnsi" w:cstheme="minorHAnsi"/>
          <w:b w:val="0"/>
          <w:sz w:val="20"/>
          <w:szCs w:val="20"/>
        </w:rPr>
      </w:pPr>
    </w:p>
    <w:p w14:paraId="54F04D46" w14:textId="77777777" w:rsidR="0022150A" w:rsidRPr="008549C6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spacing w:val="-4"/>
          <w:sz w:val="20"/>
          <w:szCs w:val="20"/>
        </w:rPr>
      </w:pPr>
      <w:r w:rsidRPr="008549C6">
        <w:rPr>
          <w:rFonts w:asciiTheme="minorHAnsi" w:hAnsiTheme="minorHAnsi" w:cstheme="minorHAnsi"/>
          <w:b/>
          <w:spacing w:val="-4"/>
          <w:sz w:val="20"/>
          <w:szCs w:val="20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8549C6" w14:paraId="2E6A01AB" w14:textId="7777777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14:paraId="21D160D4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787C7C27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konieczne </w:t>
            </w:r>
          </w:p>
          <w:p w14:paraId="5AB3EDE3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(dopuszczająca)</w:t>
            </w:r>
          </w:p>
          <w:p w14:paraId="43B9F1E9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4F824652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podstawowe </w:t>
            </w:r>
          </w:p>
          <w:p w14:paraId="53D086FD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(dostateczna)</w:t>
            </w:r>
          </w:p>
          <w:p w14:paraId="01D77187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412B04CF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rozszerzone </w:t>
            </w:r>
          </w:p>
          <w:p w14:paraId="2A645EF5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(dobra)</w:t>
            </w:r>
          </w:p>
          <w:p w14:paraId="679B9ABE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578C5EA3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Wymagania dopełniające</w:t>
            </w:r>
          </w:p>
          <w:p w14:paraId="3F177778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(b. dobra i celująca)</w:t>
            </w:r>
          </w:p>
          <w:p w14:paraId="024F11C9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</w:tr>
      <w:tr w:rsidR="0022150A" w:rsidRPr="008549C6" w14:paraId="2223630E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33CED910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7.1.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16A006C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A9EFF41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wymienia składniki energii wewnętrznej (4.5)</w:t>
            </w:r>
          </w:p>
          <w:p w14:paraId="40B36084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C8A843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wyjaśnia, dlaczego podczas ruchu z tarciem nie jest spełniona zasada zachowania energii mechanicznej (4.4)</w:t>
            </w:r>
          </w:p>
          <w:p w14:paraId="28FE1648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6A990C3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objaśnia różnice między energią mechaniczną i energią wewnętrzną ciała (3.4 i 4.4)</w:t>
            </w:r>
          </w:p>
        </w:tc>
      </w:tr>
      <w:tr w:rsidR="0022150A" w:rsidRPr="008549C6" w14:paraId="2C376B64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429BDE3C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7.2.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0A98EF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bada przewodnictwo cieplne i określa, który z materiałów jest lepszym przewodnikiem ciepła (1.3, 1.4, 4.10b)</w:t>
            </w:r>
          </w:p>
          <w:p w14:paraId="33DDAA03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 przewodników i izolatorów (4.7)</w:t>
            </w:r>
          </w:p>
          <w:p w14:paraId="59D015AC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EDC467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przepływ ciepła (energii) od ciała o wyższej temperaturze do ciała o niższej temperaturze, następujący przy zetknięciu tych ciał (4.4, 4.7)</w:t>
            </w:r>
          </w:p>
          <w:p w14:paraId="038935E8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1E5A87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objaśnia zjawisko przewodzenia ciepła z wykorzystaniem modelu budowy materii (4.7)</w:t>
            </w:r>
          </w:p>
          <w:p w14:paraId="227DF837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5A814EB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formułuje jakościowo pierwszą zasadę termodynamiki (1.2)</w:t>
            </w:r>
          </w:p>
        </w:tc>
      </w:tr>
      <w:tr w:rsidR="0022150A" w:rsidRPr="008549C6" w14:paraId="0767F8A2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651FA402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7.3.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9E3C1E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 konwekcji (4.8)</w:t>
            </w:r>
          </w:p>
          <w:p w14:paraId="0192D1A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prezentuje doświadczalnie zjawisko konwekcji (4.8)</w:t>
            </w:r>
          </w:p>
          <w:p w14:paraId="78829F01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61ADC4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F8273C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zjawisko konwekcji (4.8)</w:t>
            </w:r>
          </w:p>
          <w:p w14:paraId="1AA07229" w14:textId="77777777" w:rsidR="0022150A" w:rsidRPr="008549C6" w:rsidRDefault="0022150A" w:rsidP="00FB7CB9">
            <w:pPr>
              <w:pStyle w:val="tabelakropka"/>
              <w:spacing w:line="252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znaczenie konwekcji w prawidłowej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84852B5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uzasadnia, dlaczego w cieczach i gazach przepływ energii odbywa się głównie przez konwekcję (1.2, 4.8)</w:t>
            </w:r>
          </w:p>
          <w:p w14:paraId="2999ABFE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0C9FCB7A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3ABA0BA9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lastRenderedPageBreak/>
              <w:t xml:space="preserve">7.4.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E5E1DB3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odczytuje z tabeli wartości ciepła właściwego (1.1, 4.6)</w:t>
            </w:r>
          </w:p>
          <w:p w14:paraId="4BA6248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FD55532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zależność zmiany temperatury ciała od ilości dostarczonego lub oddanego ciepła i masy ciała (1.8, 4.6)</w:t>
            </w:r>
          </w:p>
          <w:p w14:paraId="7632316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ciepło właściwe ze wzoru </w:t>
            </w:r>
            <w:r w:rsidRPr="008549C6">
              <w:rPr>
                <w:rFonts w:asciiTheme="minorHAnsi" w:hAnsiTheme="minorHAnsi" w:cstheme="minorHAnsi"/>
                <w:position w:val="-20"/>
                <w:sz w:val="20"/>
                <w:szCs w:val="20"/>
              </w:rPr>
              <w:object w:dxaOrig="760" w:dyaOrig="499" w14:anchorId="260C23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5.5pt" o:ole="">
                  <v:imagedata r:id="rId8" o:title=""/>
                </v:shape>
                <o:OLEObject Type="Embed" ProgID="Equation.3" ShapeID="_x0000_i1025" DrawAspect="Content" ObjectID="_1745182148" r:id="rId9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E9F5A1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każdą wielkość ze wzoru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 </m:t>
              </m:r>
              <m:r>
                <w:rPr>
                  <w:rFonts w:ascii="Cambria Math" w:hAnsi="Cambria Math" w:cstheme="minorHAnsi"/>
                  <w:i/>
                  <w:position w:val="-8"/>
                  <w:sz w:val="20"/>
                  <w:szCs w:val="20"/>
                </w:rPr>
                <w:object w:dxaOrig="840" w:dyaOrig="260" w14:anchorId="3AB499FF">
                  <v:shape id="_x0000_i1026" type="#_x0000_t75" style="width:42pt;height:12.75pt" o:ole="">
                    <v:imagedata r:id="rId10" o:title=""/>
                  </v:shape>
                  <o:OLEObject Type="Embed" ProgID="Equation.3" ShapeID="_x0000_i1026" DrawAspect="Content" ObjectID="_1745182149" r:id="rId11"/>
                </w:object>
              </m:r>
            </m:oMath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25044C7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definiuje ciepło właściwe substancji (1.8, 4.6)</w:t>
            </w:r>
          </w:p>
          <w:p w14:paraId="1C6B5C17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sens fizyczny ciepła właściwego (4.6)</w:t>
            </w:r>
          </w:p>
          <w:p w14:paraId="5DB89101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zasadę działania wymiennika ciepła i chłodnicy (1.1)</w:t>
            </w:r>
          </w:p>
        </w:tc>
      </w:tr>
      <w:tr w:rsidR="0022150A" w:rsidRPr="008549C6" w14:paraId="50A19D6C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694DC150" w14:textId="77777777" w:rsidR="0022150A" w:rsidRPr="008549C6" w:rsidRDefault="0022150A" w:rsidP="00FB7CB9">
            <w:pPr>
              <w:pStyle w:val="tabelabold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>7.5.</w:t>
            </w: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Przemiany energii 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6FE0A87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zjawiska topnienia, wrzenia i skraplania (1.3, 4.10a)</w:t>
            </w:r>
          </w:p>
          <w:p w14:paraId="3AE6CF89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 znaczenia w przyrodzie dużej wartości ciepła topnienia lodu (1.2, 4.9)</w:t>
            </w:r>
          </w:p>
          <w:p w14:paraId="43B4833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odczytuje z tabeli temperaturę topnienia i ciepło topnienia (1.1)</w:t>
            </w:r>
          </w:p>
          <w:p w14:paraId="7F1B145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odczytuje z tabeli temperaturę wrzenia i ciepło parowania w temperaturze wrzenia (1.1)</w:t>
            </w:r>
          </w:p>
          <w:p w14:paraId="4CE870B9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C3953A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zjawisko topnienia (stałość temperatury, zmiany energii wewnętrznej topniejących ciał) (1.1, 4.9)</w:t>
            </w:r>
          </w:p>
          <w:p w14:paraId="0E4C1853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proporcjonalność ilości ciepła potrzebnego do stopienia ciała stałego w temperaturze topnienia do masy tego ciała (1.8, 4.9)</w:t>
            </w:r>
          </w:p>
          <w:p w14:paraId="184DE107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analizuje (energetycznie) zjawiska parowania i wrzenia (4.9)</w:t>
            </w:r>
          </w:p>
          <w:p w14:paraId="7EBE77D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C08A369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wyjaśnia, dlaczego podczas topnienia i krzepnięcia temperatura pozostaje stała mimo zmiany energii wewnętrznej (1.2, 4.9)</w:t>
            </w:r>
          </w:p>
          <w:p w14:paraId="2271DC6C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każdą wielkość ze wzoru </w:t>
            </w:r>
            <w:r w:rsidRPr="008549C6">
              <w:rPr>
                <w:rFonts w:asciiTheme="minorHAnsi" w:hAnsiTheme="minorHAnsi" w:cstheme="minorHAnsi"/>
                <w:position w:val="-10"/>
                <w:sz w:val="20"/>
                <w:szCs w:val="20"/>
              </w:rPr>
              <w:object w:dxaOrig="639" w:dyaOrig="279" w14:anchorId="3D8499DD">
                <v:shape id="_x0000_i1027" type="#_x0000_t75" style="width:30.75pt;height:13.5pt" o:ole="">
                  <v:imagedata r:id="rId12" o:title=""/>
                </v:shape>
                <o:OLEObject Type="Embed" ProgID="Equation.DSMT4" ShapeID="_x0000_i1027" DrawAspect="Content" ObjectID="_1745182150" r:id="rId13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(1.6, 4.9)</w:t>
            </w:r>
          </w:p>
          <w:p w14:paraId="0521D6A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każdą wielkość ze wzoru </w:t>
            </w:r>
            <w:r w:rsidRPr="008549C6">
              <w:rPr>
                <w:rFonts w:asciiTheme="minorHAnsi" w:hAnsiTheme="minorHAnsi" w:cstheme="minorHAnsi"/>
                <w:position w:val="-12"/>
                <w:sz w:val="20"/>
                <w:szCs w:val="20"/>
              </w:rPr>
              <w:object w:dxaOrig="660" w:dyaOrig="300" w14:anchorId="230F7F0A">
                <v:shape id="_x0000_i1028" type="#_x0000_t75" style="width:32.25pt;height:15pt" o:ole="">
                  <v:imagedata r:id="rId14" o:title=""/>
                </v:shape>
                <o:OLEObject Type="Embed" ProgID="Equation.DSMT4" ShapeID="_x0000_i1028" DrawAspect="Content" ObjectID="_1745182151" r:id="rId15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(1.6, 4.9)</w:t>
            </w:r>
          </w:p>
          <w:p w14:paraId="7E34A014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3EE102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na podstawie proporcjonalności </w:t>
            </w:r>
            <w:r w:rsidRPr="008549C6">
              <w:rPr>
                <w:rFonts w:asciiTheme="minorHAnsi" w:hAnsiTheme="minorHAnsi" w:cstheme="minorHAnsi"/>
                <w:position w:val="-8"/>
                <w:sz w:val="20"/>
                <w:szCs w:val="20"/>
              </w:rPr>
              <w:object w:dxaOrig="520" w:dyaOrig="260" w14:anchorId="24896E9D">
                <v:shape id="_x0000_i1029" type="#_x0000_t75" style="width:26.25pt;height:12.75pt" o:ole="">
                  <v:imagedata r:id="rId16" o:title=""/>
                </v:shape>
                <o:OLEObject Type="Embed" ProgID="Equation.DSMT4" ShapeID="_x0000_i1029" DrawAspect="Content" ObjectID="_1745182152" r:id="rId17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definiuje ciepło topnienia substancji (1.8, 4.9)</w:t>
            </w:r>
          </w:p>
          <w:p w14:paraId="1EEFAAB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sens fizyczny ciepła topnienia (1.2, 4.9)</w:t>
            </w:r>
          </w:p>
          <w:p w14:paraId="6B755844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na podstawie proporcjonalności </w:t>
            </w:r>
            <w:r w:rsidRPr="008549C6">
              <w:rPr>
                <w:rFonts w:asciiTheme="minorHAnsi" w:hAnsiTheme="minorHAnsi" w:cstheme="minorHAnsi"/>
                <w:position w:val="-8"/>
                <w:sz w:val="20"/>
                <w:szCs w:val="20"/>
              </w:rPr>
              <w:object w:dxaOrig="520" w:dyaOrig="260" w14:anchorId="4765378E">
                <v:shape id="_x0000_i1030" type="#_x0000_t75" style="width:26.25pt;height:12.75pt" o:ole="">
                  <v:imagedata r:id="rId16" o:title=""/>
                </v:shape>
                <o:OLEObject Type="Embed" ProgID="Equation.DSMT4" ShapeID="_x0000_i1030" DrawAspect="Content" ObjectID="_1745182153" r:id="rId18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definiuje ciepło parowania (1.8, 4.9)</w:t>
            </w:r>
          </w:p>
          <w:p w14:paraId="0FC81979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sens fizyczny ciepła parowania (1.2)</w:t>
            </w:r>
          </w:p>
          <w:p w14:paraId="0A85F8AC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zasadę działania chłodziarki (1.1)</w:t>
            </w:r>
          </w:p>
        </w:tc>
      </w:tr>
    </w:tbl>
    <w:p w14:paraId="63212840" w14:textId="77777777" w:rsidR="0022150A" w:rsidRPr="008549C6" w:rsidRDefault="0022150A" w:rsidP="0022150A">
      <w:pPr>
        <w:rPr>
          <w:rFonts w:asciiTheme="minorHAnsi" w:hAnsiTheme="minorHAnsi" w:cstheme="minorHAnsi"/>
          <w:spacing w:val="-4"/>
          <w:sz w:val="20"/>
          <w:szCs w:val="20"/>
        </w:rPr>
      </w:pPr>
    </w:p>
    <w:p w14:paraId="0A120E4C" w14:textId="77777777" w:rsidR="0022150A" w:rsidRPr="008549C6" w:rsidRDefault="0022150A" w:rsidP="0022150A">
      <w:pPr>
        <w:pStyle w:val="tytu03"/>
        <w:spacing w:before="0"/>
        <w:rPr>
          <w:rFonts w:asciiTheme="minorHAnsi" w:hAnsiTheme="minorHAnsi" w:cstheme="minorHAnsi"/>
          <w:spacing w:val="-4"/>
          <w:sz w:val="20"/>
          <w:szCs w:val="20"/>
        </w:rPr>
      </w:pPr>
      <w:r w:rsidRPr="008549C6">
        <w:rPr>
          <w:rFonts w:asciiTheme="minorHAnsi" w:hAnsiTheme="minorHAnsi" w:cstheme="minorHAnsi"/>
          <w:spacing w:val="-4"/>
          <w:sz w:val="20"/>
          <w:szCs w:val="20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8549C6" w14:paraId="2C95F3CA" w14:textId="7777777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71BB346D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35D729FE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konieczne </w:t>
            </w:r>
          </w:p>
          <w:p w14:paraId="1A72BA6F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(dopuszczająca)</w:t>
            </w:r>
          </w:p>
          <w:p w14:paraId="3E6700E7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09A69D3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podstawowe </w:t>
            </w:r>
          </w:p>
          <w:p w14:paraId="0EDA7735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(dostateczna)</w:t>
            </w:r>
          </w:p>
          <w:p w14:paraId="6E1BDE87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3E34DCAD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rozszerzone </w:t>
            </w:r>
          </w:p>
          <w:p w14:paraId="0D02A79A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(dobra)</w:t>
            </w:r>
          </w:p>
          <w:p w14:paraId="39E46EC0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B79913F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dopełniające </w:t>
            </w:r>
          </w:p>
          <w:p w14:paraId="51C5DB07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(b. dobra i celująca)</w:t>
            </w:r>
          </w:p>
          <w:p w14:paraId="2E707DC6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</w:tr>
      <w:tr w:rsidR="0022150A" w:rsidRPr="008549C6" w14:paraId="5B85D06A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0FB66494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8.1.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33D2D39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CFCCB09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905DE4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odczytuje amplitudę i okres z wykresu </w:t>
            </w:r>
            <w:r w:rsidRPr="008549C6">
              <w:rPr>
                <w:rFonts w:asciiTheme="minorHAnsi" w:hAnsiTheme="minorHAnsi" w:cstheme="minorHAnsi"/>
                <w:position w:val="-10"/>
                <w:sz w:val="20"/>
                <w:szCs w:val="20"/>
              </w:rPr>
              <w:object w:dxaOrig="380" w:dyaOrig="279" w14:anchorId="1111171C">
                <v:shape id="_x0000_i1031" type="#_x0000_t75" style="width:18.75pt;height:13.5pt" o:ole="">
                  <v:imagedata r:id="rId19" o:title=""/>
                </v:shape>
                <o:OLEObject Type="Embed" ProgID="Equation.DSMT4" ShapeID="_x0000_i1031" DrawAspect="Content" ObjectID="_1745182154" r:id="rId20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dla drgającego ciała (1.1, 8.1, 8.3)</w:t>
            </w:r>
          </w:p>
          <w:p w14:paraId="012C301F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opisuje ruch wahadła i ciężarka na sprężynie oraz analizuje przemiany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73EB3D6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5D79F48F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37995647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8.2.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08FA2D5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1669254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7088F43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E6CC2CC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1516CEAD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AA7F3E2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8.3.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843E817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02B7CAB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różnice między falami poprzecznymi i falami podłużnymi (8.4)</w:t>
            </w:r>
          </w:p>
          <w:p w14:paraId="0F5A7C73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D64F077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stosuje wzory </w:t>
            </w:r>
            <w:r w:rsidRPr="008549C6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object w:dxaOrig="580" w:dyaOrig="240" w14:anchorId="57B03C73">
                <v:shape id="_x0000_i1032" type="#_x0000_t75" style="width:29.25pt;height:12pt" o:ole="">
                  <v:imagedata r:id="rId21" o:title=""/>
                </v:shape>
                <o:OLEObject Type="Embed" ProgID="Equation.DSMT4" ShapeID="_x0000_i1032" DrawAspect="Content" ObjectID="_1745182155" r:id="rId22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8549C6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520" w:dyaOrig="540" w14:anchorId="1F0BF939">
                <v:shape id="_x0000_i1033" type="#_x0000_t75" style="width:26.25pt;height:26.25pt" o:ole="">
                  <v:imagedata r:id="rId23" o:title=""/>
                </v:shape>
                <o:OLEObject Type="Embed" ProgID="Equation.DSMT4" ShapeID="_x0000_i1033" DrawAspect="Content" ObjectID="_1745182156" r:id="rId24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469D0E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mechanizm przekazywania drgań w przypadku fali na napiętej linie i fal dźwiękowych w powietrzu (8.4)</w:t>
            </w:r>
          </w:p>
          <w:p w14:paraId="2A803FA8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72A0AF12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70370A1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8.4. Dźwięki i wielkości, 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A04A9A7" w14:textId="77777777" w:rsidR="0022150A" w:rsidRPr="008549C6" w:rsidRDefault="0022150A" w:rsidP="00FB7CB9">
            <w:pPr>
              <w:pStyle w:val="tabelakropka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 źródeł dźwięku (8.6)</w:t>
            </w:r>
          </w:p>
          <w:p w14:paraId="2FED4B5A" w14:textId="77777777" w:rsidR="0022150A" w:rsidRPr="008549C6" w:rsidRDefault="0022150A" w:rsidP="00FB7CB9">
            <w:pPr>
              <w:pStyle w:val="tabelakropka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wytwarzanie dźwięków w przedmiotach drgających i instrumentach muzycznych (8.9b)</w:t>
            </w:r>
          </w:p>
          <w:p w14:paraId="3D7093D0" w14:textId="77777777" w:rsidR="0022150A" w:rsidRPr="008549C6" w:rsidRDefault="0022150A" w:rsidP="00FB7CB9">
            <w:pPr>
              <w:pStyle w:val="tabelakropka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wymienia, od jakich wielkości fizycznych zależy wysokość i głośność dźwięku (8.7)</w:t>
            </w:r>
          </w:p>
          <w:p w14:paraId="22E35D6B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wyjaśnia, co nazywamy ultradźwiękami i infradźwiękami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78396F5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mechanizm powstawania dźwięków w powietrzu</w:t>
            </w:r>
          </w:p>
          <w:p w14:paraId="5E42FA9C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A95290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podaje cechy fali dźwiękowej (częstotliwość 20–20 000 </w:t>
            </w:r>
            <w:proofErr w:type="spellStart"/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754FDFD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występowanie w przyrodzie infradźwięków i ultradźwięków oraz ich zastosowanie (8.8)</w:t>
            </w:r>
          </w:p>
        </w:tc>
      </w:tr>
    </w:tbl>
    <w:p w14:paraId="19692F6A" w14:textId="77777777" w:rsidR="0022150A" w:rsidRPr="008549C6" w:rsidRDefault="0022150A" w:rsidP="0022150A">
      <w:pPr>
        <w:pStyle w:val="tytu03"/>
        <w:spacing w:before="0"/>
        <w:rPr>
          <w:rFonts w:asciiTheme="minorHAnsi" w:hAnsiTheme="minorHAnsi" w:cstheme="minorHAnsi"/>
          <w:b w:val="0"/>
          <w:spacing w:val="-4"/>
          <w:sz w:val="20"/>
          <w:szCs w:val="20"/>
        </w:rPr>
      </w:pPr>
    </w:p>
    <w:p w14:paraId="734CC24E" w14:textId="77777777" w:rsidR="0022150A" w:rsidRPr="008549C6" w:rsidRDefault="0022150A" w:rsidP="0022150A">
      <w:pPr>
        <w:pStyle w:val="tytu03"/>
        <w:spacing w:before="0"/>
        <w:rPr>
          <w:rFonts w:asciiTheme="minorHAnsi" w:hAnsiTheme="minorHAnsi" w:cstheme="minorHAnsi"/>
          <w:spacing w:val="-4"/>
          <w:sz w:val="20"/>
          <w:szCs w:val="20"/>
        </w:rPr>
      </w:pPr>
      <w:r w:rsidRPr="008549C6">
        <w:rPr>
          <w:rFonts w:asciiTheme="minorHAnsi" w:hAnsiTheme="minorHAnsi" w:cstheme="minorHAnsi"/>
          <w:spacing w:val="-4"/>
          <w:sz w:val="20"/>
          <w:szCs w:val="20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8549C6" w14:paraId="1EF90451" w14:textId="7777777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62C73181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EC315C8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konieczne </w:t>
            </w:r>
          </w:p>
          <w:p w14:paraId="6D274D0E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(dopuszczająca)</w:t>
            </w:r>
          </w:p>
          <w:p w14:paraId="17C40328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55B9CCC1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podstawowe </w:t>
            </w:r>
          </w:p>
          <w:p w14:paraId="53F0DCEE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(dostateczna)</w:t>
            </w:r>
          </w:p>
          <w:p w14:paraId="5A5887FA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16562C8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rozszerzone </w:t>
            </w:r>
          </w:p>
          <w:p w14:paraId="798B47C7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(dobra)</w:t>
            </w:r>
          </w:p>
          <w:p w14:paraId="6F4D952D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E60D12B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dopełniające </w:t>
            </w:r>
          </w:p>
          <w:p w14:paraId="33450ECD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(b. dobra i celująca)</w:t>
            </w:r>
          </w:p>
          <w:p w14:paraId="7B55A071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</w:tr>
      <w:tr w:rsidR="0022150A" w:rsidRPr="008549C6" w14:paraId="68A2F814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227553E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9.1. </w:t>
            </w: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9FDFFB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wskazuje w otoczeniu zjawiska elektryzowania przez tarcie i dotyk (6.1)</w:t>
            </w:r>
          </w:p>
          <w:p w14:paraId="3048FC2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AFE6617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C9F7F36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8549C6">
                <w:rPr>
                  <w:rFonts w:asciiTheme="minorHAnsi" w:hAnsiTheme="minorHAnsi" w:cstheme="minorHAnsi"/>
                  <w:sz w:val="20"/>
                  <w:szCs w:val="20"/>
                </w:rPr>
                <w:t>1 C</w:t>
              </w:r>
            </w:smartTag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) jako wielokrotność ładunku elementarnego (6.6)</w:t>
            </w:r>
          </w:p>
          <w:p w14:paraId="5DE00206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wyjaśnia elektryzowanie przez tarcie i dotyk, analizuje przepływ elektronów (6.1)</w:t>
            </w:r>
          </w:p>
          <w:p w14:paraId="75BA7DFD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E803CA3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5C531882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4F140051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9.2. </w:t>
            </w: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Siły wzajemnego oddziaływania ciał naelektryzowanych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D5CF03A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178C1E2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bada jakościowo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0B2A24B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formułuje 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008CAA6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1A3CB2E6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7AE01F62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9.3. </w:t>
            </w: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320E732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 przewodników i izolatorów (6.3, 6.16c)</w:t>
            </w:r>
          </w:p>
          <w:p w14:paraId="20520E8E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7052992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C187132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wyjaśnia, jak rozmieszczony jest </w:t>
            </w:r>
            <w:r w:rsidRPr="008549C6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uzyskany na skutek naelektryzowania </w:t>
            </w:r>
            <w:r w:rsidRPr="008549C6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ładunek w przewodniku, a jak w izolatorze (6.3)</w:t>
            </w:r>
          </w:p>
          <w:p w14:paraId="00BB7CFC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3B67FB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mechanizm zobojętniania ciał naelektryzowanych (metali i izolatorów) (6.3)</w:t>
            </w:r>
          </w:p>
          <w:p w14:paraId="7B4ED48A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642F0523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5A7EE0F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9.4. 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6647A62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elektryzowanie przez indukcję (6.4)</w:t>
            </w:r>
          </w:p>
          <w:p w14:paraId="47B7DFA3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40B487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budowę i zasadę działania elektroskopu (6.5)</w:t>
            </w:r>
          </w:p>
          <w:p w14:paraId="6FE86F79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309583D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588AE98F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240426BA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7AE50905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9.5. 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F9807F1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6757D9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posługuje się pojęciem pola elektrostatycznego do wyjaśnienia zachowania się nitek lub bibułek przymocowanych do naelektryzowanej kulki (1.1)</w:t>
            </w:r>
          </w:p>
          <w:p w14:paraId="24601047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45D4864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59AEDA93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oddziaływanie na odległość ciał naelektryzowanych z użyciem pojęcia pola elektrostatycznego (1.1)</w:t>
            </w:r>
          </w:p>
        </w:tc>
      </w:tr>
    </w:tbl>
    <w:p w14:paraId="4E4E6192" w14:textId="77777777" w:rsidR="0022150A" w:rsidRPr="008549C6" w:rsidRDefault="0022150A" w:rsidP="0022150A">
      <w:pPr>
        <w:rPr>
          <w:rFonts w:asciiTheme="minorHAnsi" w:hAnsiTheme="minorHAnsi" w:cstheme="minorHAnsi"/>
          <w:spacing w:val="-4"/>
          <w:sz w:val="20"/>
          <w:szCs w:val="20"/>
        </w:rPr>
      </w:pPr>
    </w:p>
    <w:p w14:paraId="3001FA21" w14:textId="77777777" w:rsidR="0022150A" w:rsidRPr="008549C6" w:rsidRDefault="0022150A" w:rsidP="0022150A">
      <w:pPr>
        <w:pStyle w:val="tytu03"/>
        <w:spacing w:before="0"/>
        <w:rPr>
          <w:rFonts w:asciiTheme="minorHAnsi" w:hAnsiTheme="minorHAnsi" w:cstheme="minorHAnsi"/>
          <w:spacing w:val="-4"/>
          <w:sz w:val="20"/>
          <w:szCs w:val="20"/>
        </w:rPr>
      </w:pPr>
      <w:r w:rsidRPr="008549C6">
        <w:rPr>
          <w:rFonts w:asciiTheme="minorHAnsi" w:hAnsiTheme="minorHAnsi" w:cstheme="minorHAnsi"/>
          <w:spacing w:val="-4"/>
          <w:sz w:val="20"/>
          <w:szCs w:val="20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8549C6" w14:paraId="14754ED8" w14:textId="7777777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14:paraId="56E58087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3D80B241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konieczne </w:t>
            </w:r>
          </w:p>
          <w:p w14:paraId="0D434115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(dopuszczająca)</w:t>
            </w:r>
          </w:p>
          <w:p w14:paraId="68247175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5921837F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podstawowe </w:t>
            </w:r>
          </w:p>
          <w:p w14:paraId="75BE91D9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(dostateczna)</w:t>
            </w:r>
          </w:p>
          <w:p w14:paraId="2AEE358F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0F896F04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rozszerzone </w:t>
            </w:r>
          </w:p>
          <w:p w14:paraId="2674AB8B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(dobra)</w:t>
            </w:r>
          </w:p>
          <w:p w14:paraId="64E5CB16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5EACF1CB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dopełniające </w:t>
            </w:r>
          </w:p>
          <w:p w14:paraId="2BC4DAAE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(b. dobra i celująca)</w:t>
            </w:r>
          </w:p>
          <w:p w14:paraId="3A060833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</w:tr>
      <w:tr w:rsidR="0022150A" w:rsidRPr="008549C6" w14:paraId="0327350C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735E5E6D" w14:textId="77777777" w:rsidR="0022150A" w:rsidRPr="008549C6" w:rsidRDefault="0022150A" w:rsidP="00FB7CB9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lastRenderedPageBreak/>
              <w:t xml:space="preserve">10.1.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6597104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przepływ prądu w przewodnikach jako ruch elektronów swobodnych (6.7)</w:t>
            </w:r>
          </w:p>
          <w:p w14:paraId="30514BD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posługuje się intuicyjnie pojęciem napięcia elektrycznego (6.9)</w:t>
            </w:r>
          </w:p>
          <w:p w14:paraId="39D76972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jednostkę napięcia (1 V) (6.9)</w:t>
            </w:r>
          </w:p>
          <w:p w14:paraId="17F51B4D" w14:textId="77777777" w:rsidR="0022150A" w:rsidRPr="008549C6" w:rsidRDefault="0022150A" w:rsidP="00FB7CB9">
            <w:pPr>
              <w:pStyle w:val="tabelakropka"/>
              <w:spacing w:before="0" w:after="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125072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48F52A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zapisuje i wyjaśnia wzór</w:t>
            </w:r>
          </w:p>
          <w:p w14:paraId="3961DBEE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position w:val="-22"/>
                <w:sz w:val="20"/>
                <w:szCs w:val="20"/>
              </w:rPr>
              <w:object w:dxaOrig="1160" w:dyaOrig="520" w14:anchorId="2964B356">
                <v:shape id="_x0000_i1034" type="#_x0000_t75" style="width:58.5pt;height:26.25pt" o:ole="">
                  <v:imagedata r:id="rId25" o:title=""/>
                </v:shape>
                <o:OLEObject Type="Embed" ProgID="Equation.3" ShapeID="_x0000_i1034" DrawAspect="Content" ObjectID="_1745182157" r:id="rId26"/>
              </w:object>
            </w:r>
          </w:p>
          <w:p w14:paraId="7A3F1399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wymienia i opisuje skutki przepływu prądu w przewodnikach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60DFC220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wskazuje skutki przerwania dostaw energii elektrycznej do urządzeń o kluczowym znaczeniu (6.15)</w:t>
            </w:r>
          </w:p>
        </w:tc>
      </w:tr>
      <w:tr w:rsidR="0022150A" w:rsidRPr="008549C6" w14:paraId="5DE04B4D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122AC4A9" w14:textId="77777777" w:rsidR="0022150A" w:rsidRPr="008549C6" w:rsidRDefault="0022150A" w:rsidP="00FB7CB9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10.2.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DC73CD3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F752253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BB2A26B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wskazuje kierunek przepływu elektronów w obwodzie i umowny kierunek prądu (6.7)</w:t>
            </w:r>
          </w:p>
          <w:p w14:paraId="4F0DBBA9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CE52599" w14:textId="77777777" w:rsidR="0022150A" w:rsidRPr="008549C6" w:rsidRDefault="0022150A" w:rsidP="00FB7CB9">
            <w:pPr>
              <w:pStyle w:val="tabelakropka"/>
              <w:spacing w:before="0" w:after="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mierzy napięcie na odbiorniku (6.9)</w:t>
            </w:r>
          </w:p>
        </w:tc>
      </w:tr>
      <w:tr w:rsidR="0022150A" w:rsidRPr="008549C6" w14:paraId="4ACE0CAC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00B5B852" w14:textId="77777777" w:rsidR="0022150A" w:rsidRPr="008549C6" w:rsidRDefault="0022150A" w:rsidP="00FB7CB9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10.3.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66CD21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 w:rsidRPr="008549C6">
                <w:rPr>
                  <w:rFonts w:asciiTheme="minorHAnsi" w:hAnsiTheme="minorHAnsi" w:cstheme="minorHAnsi"/>
                  <w:sz w:val="20"/>
                  <w:szCs w:val="20"/>
                </w:rPr>
                <w:t>1 A</w:t>
              </w:r>
            </w:smartTag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7C5A8C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natężenie prądu ze wzoru </w:t>
            </w:r>
            <w:r w:rsidRPr="008549C6">
              <w:rPr>
                <w:rFonts w:asciiTheme="minorHAnsi" w:hAnsiTheme="minorHAnsi" w:cstheme="minorHAnsi"/>
                <w:position w:val="-18"/>
                <w:sz w:val="20"/>
                <w:szCs w:val="20"/>
              </w:rPr>
              <w:object w:dxaOrig="480" w:dyaOrig="499" w14:anchorId="1740A37D">
                <v:shape id="_x0000_i1035" type="#_x0000_t75" style="width:24pt;height:25.5pt" o:ole="">
                  <v:imagedata r:id="rId27" o:title=""/>
                </v:shape>
                <o:OLEObject Type="Embed" ProgID="Equation.DSMT4" ShapeID="_x0000_i1035" DrawAspect="Content" ObjectID="_1745182158" r:id="rId28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(6.8)</w:t>
            </w:r>
          </w:p>
          <w:p w14:paraId="64E9DF52" w14:textId="77777777" w:rsidR="0022150A" w:rsidRPr="008549C6" w:rsidRDefault="0022150A" w:rsidP="00FB7CB9">
            <w:pPr>
              <w:pStyle w:val="tabelakropka"/>
              <w:spacing w:before="0" w:after="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B29299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objaśnia proporcjonalność </w:t>
            </w:r>
            <w:r w:rsidRPr="008549C6">
              <w:rPr>
                <w:rFonts w:asciiTheme="minorHAnsi" w:hAnsiTheme="minorHAnsi" w:cstheme="minorHAnsi"/>
                <w:position w:val="-8"/>
                <w:sz w:val="20"/>
                <w:szCs w:val="20"/>
              </w:rPr>
              <w:object w:dxaOrig="420" w:dyaOrig="240" w14:anchorId="25CCC38F">
                <v:shape id="_x0000_i1036" type="#_x0000_t75" style="width:21pt;height:12pt" o:ole="">
                  <v:imagedata r:id="rId29" o:title=""/>
                </v:shape>
                <o:OLEObject Type="Embed" ProgID="Equation.DSMT4" ShapeID="_x0000_i1036" DrawAspect="Content" ObjectID="_1745182159" r:id="rId30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(6.8)</w:t>
            </w:r>
          </w:p>
          <w:p w14:paraId="752EBAFC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każdą wielkość ze wzoru </w:t>
            </w:r>
            <w:r w:rsidRPr="008549C6">
              <w:rPr>
                <w:rFonts w:asciiTheme="minorHAnsi" w:hAnsiTheme="minorHAnsi" w:cstheme="minorHAnsi"/>
                <w:position w:val="-18"/>
                <w:sz w:val="20"/>
                <w:szCs w:val="20"/>
              </w:rPr>
              <w:object w:dxaOrig="480" w:dyaOrig="499" w14:anchorId="3B7713ED">
                <v:shape id="_x0000_i1037" type="#_x0000_t75" style="width:24pt;height:25.5pt" o:ole="">
                  <v:imagedata r:id="rId27" o:title=""/>
                </v:shape>
                <o:OLEObject Type="Embed" ProgID="Equation.DSMT4" ShapeID="_x0000_i1037" DrawAspect="Content" ObjectID="_1745182160" r:id="rId31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CC84A10" w14:textId="77777777" w:rsidR="0022150A" w:rsidRPr="008549C6" w:rsidRDefault="0022150A" w:rsidP="00FB7CB9">
            <w:pPr>
              <w:pStyle w:val="tabelakropka"/>
              <w:spacing w:before="0" w:after="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 w:rsidRPr="008549C6">
                <w:rPr>
                  <w:rFonts w:asciiTheme="minorHAnsi" w:hAnsiTheme="minorHAnsi" w:cstheme="minorHAnsi"/>
                  <w:sz w:val="20"/>
                  <w:szCs w:val="20"/>
                </w:rPr>
                <w:t>1 C</w:t>
              </w:r>
            </w:smartTag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, 1 Ah, 1 As) (6.8)</w:t>
            </w:r>
          </w:p>
        </w:tc>
      </w:tr>
      <w:tr w:rsidR="0022150A" w:rsidRPr="008549C6" w14:paraId="03C17FE5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5DC8F98D" w14:textId="77777777" w:rsidR="0022150A" w:rsidRPr="008549C6" w:rsidRDefault="0022150A" w:rsidP="00FB7CB9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10.4.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021A729D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wyjaśnia, skąd się bierze opór przewodnika (6.12)</w:t>
            </w:r>
          </w:p>
          <w:p w14:paraId="4BABA316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podaje jednostkę oporu elektrycznego </w:t>
            </w:r>
            <w:r w:rsidRPr="008549C6">
              <w:rPr>
                <w:rFonts w:asciiTheme="minorHAnsi" w:hAnsiTheme="minorHAnsi" w:cstheme="minorHAnsi"/>
                <w:position w:val="-10"/>
                <w:sz w:val="20"/>
                <w:szCs w:val="20"/>
              </w:rPr>
              <w:object w:dxaOrig="440" w:dyaOrig="279" w14:anchorId="62442FCE">
                <v:shape id="_x0000_i1038" type="#_x0000_t75" style="width:21pt;height:13.5pt" o:ole="">
                  <v:imagedata r:id="rId32" o:title=""/>
                </v:shape>
                <o:OLEObject Type="Embed" ProgID="Equation.DSMT4" ShapeID="_x0000_i1038" DrawAspect="Content" ObjectID="_1745182161" r:id="rId33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29C69B9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opór przewodnika ze wzoru </w:t>
            </w:r>
            <w:r w:rsidRPr="008549C6">
              <w:rPr>
                <w:rFonts w:asciiTheme="minorHAnsi" w:hAnsiTheme="minorHAnsi" w:cstheme="minorHAnsi"/>
                <w:position w:val="-18"/>
                <w:sz w:val="20"/>
                <w:szCs w:val="20"/>
              </w:rPr>
              <w:object w:dxaOrig="560" w:dyaOrig="499" w14:anchorId="6CEAE154">
                <v:shape id="_x0000_i1039" type="#_x0000_t75" style="width:27.75pt;height:25.5pt" o:ole="">
                  <v:imagedata r:id="rId34" o:title=""/>
                </v:shape>
                <o:OLEObject Type="Embed" ProgID="Equation.DSMT4" ShapeID="_x0000_i1039" DrawAspect="Content" ObjectID="_1745182162" r:id="rId35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590A9D0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objaśnia zależność wyrażoną przez prawo Ohma (6.12)</w:t>
            </w:r>
          </w:p>
          <w:p w14:paraId="69CF4E9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sporządza wykres zależności </w:t>
            </w:r>
            <w:r w:rsidRPr="008549C6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8549C6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) (1.8)</w:t>
            </w:r>
          </w:p>
          <w:p w14:paraId="51075312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wyznacza opór elektryczny przewodnika (6.16e)</w:t>
            </w:r>
          </w:p>
          <w:p w14:paraId="210AAD50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każdą wielkość ze wzoru </w:t>
            </w:r>
            <w:r w:rsidRPr="008549C6">
              <w:rPr>
                <w:rFonts w:asciiTheme="minorHAnsi" w:hAnsiTheme="minorHAnsi" w:cstheme="minorHAnsi"/>
                <w:position w:val="-18"/>
                <w:sz w:val="20"/>
                <w:szCs w:val="20"/>
              </w:rPr>
              <w:object w:dxaOrig="560" w:dyaOrig="499" w14:anchorId="09D33826">
                <v:shape id="_x0000_i1040" type="#_x0000_t75" style="width:27.75pt;height:25.5pt" o:ole="">
                  <v:imagedata r:id="rId34" o:title=""/>
                </v:shape>
                <o:OLEObject Type="Embed" ProgID="Equation.DSMT4" ShapeID="_x0000_i1040" DrawAspect="Content" ObjectID="_1745182163" r:id="rId36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31A78C63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2373B6CE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31542412" w14:textId="77777777" w:rsidR="0022150A" w:rsidRPr="008549C6" w:rsidRDefault="0022150A" w:rsidP="00FB7CB9">
            <w:pPr>
              <w:pStyle w:val="tabelabold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10.5.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3F8A30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492166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3719036" w14:textId="77777777" w:rsidR="0022150A" w:rsidRPr="008549C6" w:rsidRDefault="0022150A" w:rsidP="00FB7CB9">
            <w:pPr>
              <w:pStyle w:val="tabelakropka"/>
              <w:spacing w:before="0" w:after="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56B61C97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58080279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2938D088" w14:textId="77777777" w:rsidR="0022150A" w:rsidRPr="008549C6" w:rsidRDefault="0022150A" w:rsidP="00FB7CB9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10.6.</w:t>
            </w:r>
            <w:r w:rsidRPr="008549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3A4C72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377E8AB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A25E45B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6AB630AD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budowę domowej sieci elektrycznej (6.14)</w:t>
            </w:r>
          </w:p>
          <w:p w14:paraId="6A7650D6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równoległe połączenie odbiorników w sieci domowej (6.14)</w:t>
            </w:r>
          </w:p>
        </w:tc>
      </w:tr>
      <w:tr w:rsidR="0022150A" w:rsidRPr="008549C6" w14:paraId="3130C16A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4653C8E7" w14:textId="77777777" w:rsidR="0022150A" w:rsidRPr="008549C6" w:rsidRDefault="0022150A" w:rsidP="00FB7CB9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10.7.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74F23C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odczytuje dane znamionowe z tabliczki znamionowej odbiornika (6.10)</w:t>
            </w:r>
          </w:p>
          <w:p w14:paraId="521D602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odczytuje z licznika zużytą energię elektryczną (6.10)</w:t>
            </w:r>
          </w:p>
          <w:p w14:paraId="4BFF0C4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jednostki pracy oraz mocy prądu i je przelicza (6.10)</w:t>
            </w:r>
          </w:p>
          <w:p w14:paraId="12875557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6CE1B80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pracę prądu elektrycznego ze wzoru </w:t>
            </w:r>
            <w:r w:rsidRPr="008549C6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object w:dxaOrig="660" w:dyaOrig="240" w14:anchorId="071DBB30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745182164" r:id="rId38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(6.10)</w:t>
            </w:r>
          </w:p>
          <w:p w14:paraId="2A5CF08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moc prądu ze wzoru </w:t>
            </w:r>
            <w:r w:rsidRPr="008549C6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object w:dxaOrig="600" w:dyaOrig="240" w14:anchorId="1AA2C874">
                <v:shape id="_x0000_i1042" type="#_x0000_t75" style="width:30.75pt;height:12pt" o:ole="">
                  <v:imagedata r:id="rId39" o:title=""/>
                </v:shape>
                <o:OLEObject Type="Embed" ProgID="Equation.DSMT4" ShapeID="_x0000_i1042" DrawAspect="Content" ObjectID="_1745182165" r:id="rId40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(6.10)</w:t>
            </w:r>
          </w:p>
          <w:p w14:paraId="4A854A88" w14:textId="77777777" w:rsidR="0022150A" w:rsidRPr="008549C6" w:rsidRDefault="0022150A" w:rsidP="00FB7CB9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689202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05A3E685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oblicza każdą z wielkości występujących we wzorach (6.10):</w:t>
            </w:r>
          </w:p>
          <w:p w14:paraId="7BCF2825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object w:dxaOrig="660" w:dyaOrig="240" w14:anchorId="71F0BD77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745182166" r:id="rId42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549C6">
              <w:rPr>
                <w:rFonts w:asciiTheme="minorHAnsi" w:hAnsiTheme="minorHAnsi" w:cstheme="minorHAnsi"/>
                <w:position w:val="-20"/>
                <w:sz w:val="20"/>
                <w:szCs w:val="20"/>
              </w:rPr>
              <w:object w:dxaOrig="760" w:dyaOrig="560" w14:anchorId="3BA16854">
                <v:shape id="_x0000_i1044" type="#_x0000_t75" style="width:38.25pt;height:27.75pt" o:ole="">
                  <v:imagedata r:id="rId43" o:title=""/>
                </v:shape>
                <o:OLEObject Type="Embed" ProgID="Equation.3" ShapeID="_x0000_i1044" DrawAspect="Content" ObjectID="_1745182167" r:id="rId44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549C6">
              <w:rPr>
                <w:rFonts w:asciiTheme="minorHAnsi" w:hAnsiTheme="minorHAnsi" w:cstheme="minorHAnsi"/>
                <w:position w:val="-6"/>
                <w:sz w:val="20"/>
                <w:szCs w:val="20"/>
              </w:rPr>
              <w:object w:dxaOrig="760" w:dyaOrig="260" w14:anchorId="3A2C4026">
                <v:shape id="_x0000_i1045" type="#_x0000_t75" style="width:38.25pt;height:12.75pt" o:ole="">
                  <v:imagedata r:id="rId45" o:title=""/>
                </v:shape>
                <o:OLEObject Type="Embed" ProgID="Equation.DSMT4" ShapeID="_x0000_i1045" DrawAspect="Content" ObjectID="_1745182168" r:id="rId46"/>
              </w:object>
            </w:r>
          </w:p>
          <w:p w14:paraId="55441D9C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2E10FF58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3678CDE2" w14:textId="77777777" w:rsidR="0022150A" w:rsidRPr="008549C6" w:rsidRDefault="0022150A" w:rsidP="00FB7CB9">
            <w:pPr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10.8. 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37F30C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wykonuje pomiary masy wody, temperatury i czasu ogrzewania wody (1.3)</w:t>
            </w:r>
          </w:p>
          <w:p w14:paraId="517F9F7B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2816135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71EFD7E6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93A8BB7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objaśnia sposób dochodzenia do wzoru </w:t>
            </w:r>
            <w:r w:rsidRPr="008549C6">
              <w:rPr>
                <w:rFonts w:asciiTheme="minorHAnsi" w:hAnsiTheme="minorHAnsi" w:cstheme="minorHAnsi"/>
                <w:position w:val="-20"/>
                <w:sz w:val="20"/>
                <w:szCs w:val="20"/>
              </w:rPr>
              <w:object w:dxaOrig="760" w:dyaOrig="499" w14:anchorId="4EA5BF48">
                <v:shape id="_x0000_i1046" type="#_x0000_t75" style="width:38.25pt;height:25.5pt" o:ole="">
                  <v:imagedata r:id="rId47" o:title=""/>
                </v:shape>
                <o:OLEObject Type="Embed" ProgID="Equation.3" ShapeID="_x0000_i1046" DrawAspect="Content" ObjectID="_1745182169" r:id="rId48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(4.10c)</w:t>
            </w:r>
          </w:p>
          <w:p w14:paraId="760EBA61" w14:textId="77777777" w:rsidR="0022150A" w:rsidRPr="008549C6" w:rsidRDefault="0022150A" w:rsidP="00FB7CB9">
            <w:pPr>
              <w:pStyle w:val="tabelakropka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zaokrągla wynik do dwóch cyfr znaczących (1.6)</w:t>
            </w:r>
          </w:p>
        </w:tc>
      </w:tr>
      <w:tr w:rsidR="0022150A" w:rsidRPr="008549C6" w14:paraId="141A0C5D" w14:textId="77777777" w:rsidTr="00FB7CB9">
        <w:tc>
          <w:tcPr>
            <w:tcW w:w="1908" w:type="dxa"/>
            <w:tcMar>
              <w:left w:w="28" w:type="dxa"/>
              <w:right w:w="28" w:type="dxa"/>
            </w:tcMar>
          </w:tcPr>
          <w:p w14:paraId="5D20A038" w14:textId="77777777" w:rsidR="0022150A" w:rsidRPr="008549C6" w:rsidRDefault="0022150A" w:rsidP="00FB7C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10.9. 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7AF6899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2F4C90C5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275AB195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5D5B56B4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analizuje teksty źródłowe, w tym popularnonaukowe, i przygotowuje wypowiedź pisemną lub ustną (wym. ogólne IV)</w:t>
            </w:r>
          </w:p>
        </w:tc>
      </w:tr>
    </w:tbl>
    <w:p w14:paraId="4658FE83" w14:textId="77777777" w:rsidR="0022150A" w:rsidRPr="008549C6" w:rsidRDefault="0022150A" w:rsidP="0022150A">
      <w:pPr>
        <w:rPr>
          <w:rFonts w:asciiTheme="minorHAnsi" w:hAnsiTheme="minorHAnsi" w:cstheme="minorHAnsi"/>
          <w:spacing w:val="-4"/>
          <w:sz w:val="20"/>
          <w:szCs w:val="20"/>
        </w:rPr>
      </w:pPr>
    </w:p>
    <w:p w14:paraId="5F28C04E" w14:textId="77777777" w:rsidR="00797D39" w:rsidRPr="008549C6" w:rsidRDefault="00797D39" w:rsidP="0022150A">
      <w:pPr>
        <w:pStyle w:val="tytu03"/>
        <w:spacing w:before="0"/>
        <w:rPr>
          <w:rFonts w:asciiTheme="minorHAnsi" w:hAnsiTheme="minorHAnsi" w:cstheme="minorHAnsi"/>
          <w:spacing w:val="-4"/>
          <w:sz w:val="20"/>
          <w:szCs w:val="20"/>
        </w:rPr>
      </w:pPr>
    </w:p>
    <w:p w14:paraId="39664C93" w14:textId="77777777" w:rsidR="0022150A" w:rsidRPr="008549C6" w:rsidRDefault="0022150A" w:rsidP="0022150A">
      <w:pPr>
        <w:pStyle w:val="tytu03"/>
        <w:spacing w:before="0"/>
        <w:rPr>
          <w:rFonts w:asciiTheme="minorHAnsi" w:hAnsiTheme="minorHAnsi" w:cstheme="minorHAnsi"/>
          <w:spacing w:val="-4"/>
          <w:sz w:val="20"/>
          <w:szCs w:val="20"/>
        </w:rPr>
      </w:pPr>
      <w:r w:rsidRPr="008549C6">
        <w:rPr>
          <w:rFonts w:asciiTheme="minorHAnsi" w:hAnsiTheme="minorHAnsi" w:cstheme="minorHAnsi"/>
          <w:spacing w:val="-4"/>
          <w:sz w:val="20"/>
          <w:szCs w:val="20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73"/>
        <w:gridCol w:w="3119"/>
        <w:gridCol w:w="3119"/>
        <w:gridCol w:w="3119"/>
        <w:gridCol w:w="3119"/>
      </w:tblGrid>
      <w:tr w:rsidR="0022150A" w:rsidRPr="008549C6" w14:paraId="22F4540F" w14:textId="7777777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14:paraId="24946DE2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D483FB4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konieczne </w:t>
            </w:r>
          </w:p>
          <w:p w14:paraId="07C0DCF9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(dopuszczająca)</w:t>
            </w:r>
          </w:p>
          <w:p w14:paraId="0CE9E43F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3E609AD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podstawowe </w:t>
            </w:r>
          </w:p>
          <w:p w14:paraId="2B0DDB96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(dostateczna)</w:t>
            </w:r>
          </w:p>
          <w:p w14:paraId="4DADC3A3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E371C42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rozszerzone </w:t>
            </w:r>
          </w:p>
          <w:p w14:paraId="4343D3DD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(dobra)</w:t>
            </w:r>
          </w:p>
          <w:p w14:paraId="1C238E7E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B1E3D02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dopełniające </w:t>
            </w:r>
          </w:p>
          <w:p w14:paraId="72174945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(b. dobra i celująca)</w:t>
            </w:r>
          </w:p>
          <w:p w14:paraId="0262CA37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</w:tr>
      <w:tr w:rsidR="0022150A" w:rsidRPr="008549C6" w14:paraId="1B9496E2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12498026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11.1.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8C5DAD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nazwy biegunów magnetycznych i opisuje oddziaływania między nimi (7.1)</w:t>
            </w:r>
          </w:p>
          <w:p w14:paraId="496A3EC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i demonstruje zachowanie igły magnetycznej w pobliżu magnesu (7.1, 7.7a)</w:t>
            </w:r>
          </w:p>
          <w:p w14:paraId="0BF83B9B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D1369D2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CCF862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oddziaływanie magnesu na żelazo i podaje przykłady wykorzystania tego oddziaływania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405BC4AA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do opisu oddziaływania magnetycznego używa pojęcia pola magnetycznego (7.2)</w:t>
            </w:r>
          </w:p>
        </w:tc>
      </w:tr>
      <w:tr w:rsidR="0022150A" w:rsidRPr="008549C6" w14:paraId="7EB79D82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2E6D2FDF" w14:textId="77777777" w:rsidR="0022150A" w:rsidRPr="008549C6" w:rsidRDefault="0022150A" w:rsidP="00FB7CB9">
            <w:pPr>
              <w:pStyle w:val="tabelabold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11.2. Przewodnik z prądem jako źródło pola magnetycznego.</w:t>
            </w:r>
          </w:p>
          <w:p w14:paraId="2DD25AB3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9EE52F3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budowę elektromagnesu (7.5)</w:t>
            </w:r>
          </w:p>
          <w:p w14:paraId="46F130E2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2DED2AA4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oddziaływanie prostoliniowego przewodnika z prądem na igłę magnetyczną umieszczoną w pobliżu (7.4, 7.7b)</w:t>
            </w:r>
          </w:p>
          <w:p w14:paraId="7E899590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3BBA2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rolę rdzenia w elektromagnesie (7.5)</w:t>
            </w:r>
          </w:p>
          <w:p w14:paraId="316192A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7450AA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zachowanie igły magnetycznej z użyciem pojęcia pola magnetycznego wytworzonego przez prąd elektryczny (1.2, 7.4)</w:t>
            </w:r>
          </w:p>
        </w:tc>
      </w:tr>
      <w:tr w:rsidR="0022150A" w:rsidRPr="008549C6" w14:paraId="6579EDAF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65227E6F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11.3.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7594C0D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7C785DC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wskazuje oddziaływanie elektromagnesu z magnesem jako podstawę działania silnika na prąd stały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C671B90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1A9970E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buduje model silnika na prąd stały i demonstruje jego działanie (1.3, 7.6)</w:t>
            </w:r>
          </w:p>
          <w:p w14:paraId="0B8E19A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cechy prądu przemiennego wykorzystywanego w sieci energetycznej (wym. ogólne IV)</w:t>
            </w:r>
          </w:p>
        </w:tc>
      </w:tr>
      <w:tr w:rsidR="0022150A" w:rsidRPr="008549C6" w14:paraId="2BBCE49B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11A03542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11.4.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A27E0EB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6EC7D32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wymienia różnice między prądem stałym i prądem przemiennym (1.2)</w:t>
            </w:r>
          </w:p>
          <w:p w14:paraId="698BE198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65A7CE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87781D7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doświadczalnie demonstruje, że zmieniające się pole magnetyczne jest źródłem prądu elektrycznego w zamkniętym obwodzie (1.3)</w:t>
            </w:r>
          </w:p>
        </w:tc>
      </w:tr>
      <w:tr w:rsidR="0022150A" w:rsidRPr="008549C6" w14:paraId="178A3A65" w14:textId="77777777" w:rsidTr="00FB7CB9">
        <w:tc>
          <w:tcPr>
            <w:tcW w:w="2173" w:type="dxa"/>
            <w:tcMar>
              <w:left w:w="57" w:type="dxa"/>
              <w:right w:w="57" w:type="dxa"/>
            </w:tcMar>
          </w:tcPr>
          <w:p w14:paraId="089ADD70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lastRenderedPageBreak/>
              <w:t xml:space="preserve">11.5.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Fale elektromagnetyczne.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82DBDF9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nazywa rodzaje fal elektromagnetycznych  (9.12)</w:t>
            </w:r>
          </w:p>
          <w:p w14:paraId="4DDDBA58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E42A759" w14:textId="77777777" w:rsidR="0022150A" w:rsidRPr="008549C6" w:rsidRDefault="0022150A" w:rsidP="00FB7CB9">
            <w:pPr>
              <w:pStyle w:val="tabelakropka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E1AD1F4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właściwości różnych rodzajów fal elektromagnetycznych (rozchodzenie się w próżni, szybkość rozchodzenia się, różne długości fali) (9.12)</w:t>
            </w:r>
          </w:p>
          <w:p w14:paraId="15F56891" w14:textId="77777777" w:rsidR="0022150A" w:rsidRPr="008549C6" w:rsidRDefault="0022150A" w:rsidP="00FB7CB9">
            <w:pPr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2B93DF3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14:paraId="2CEEE121" w14:textId="77777777" w:rsidR="0022150A" w:rsidRPr="008549C6" w:rsidRDefault="0022150A" w:rsidP="0022150A">
      <w:pPr>
        <w:pStyle w:val="tytu03"/>
        <w:spacing w:before="0" w:after="0"/>
        <w:rPr>
          <w:rFonts w:asciiTheme="minorHAnsi" w:hAnsiTheme="minorHAnsi" w:cstheme="minorHAnsi"/>
          <w:spacing w:val="-4"/>
          <w:sz w:val="20"/>
          <w:szCs w:val="20"/>
        </w:rPr>
      </w:pPr>
    </w:p>
    <w:p w14:paraId="633F6E73" w14:textId="77777777" w:rsidR="00797D39" w:rsidRPr="008549C6" w:rsidRDefault="00797D39" w:rsidP="0022150A">
      <w:pPr>
        <w:pStyle w:val="tytu03"/>
        <w:spacing w:before="0"/>
        <w:rPr>
          <w:rFonts w:asciiTheme="minorHAnsi" w:hAnsiTheme="minorHAnsi" w:cstheme="minorHAnsi"/>
          <w:spacing w:val="-4"/>
          <w:sz w:val="20"/>
          <w:szCs w:val="20"/>
        </w:rPr>
      </w:pPr>
    </w:p>
    <w:p w14:paraId="137D2C37" w14:textId="77777777" w:rsidR="0022150A" w:rsidRPr="008549C6" w:rsidRDefault="0022150A" w:rsidP="0022150A">
      <w:pPr>
        <w:pStyle w:val="tytu03"/>
        <w:spacing w:before="0"/>
        <w:rPr>
          <w:rFonts w:asciiTheme="minorHAnsi" w:hAnsiTheme="minorHAnsi" w:cstheme="minorHAnsi"/>
          <w:spacing w:val="-4"/>
          <w:sz w:val="20"/>
          <w:szCs w:val="20"/>
        </w:rPr>
      </w:pPr>
      <w:r w:rsidRPr="008549C6">
        <w:rPr>
          <w:rFonts w:asciiTheme="minorHAnsi" w:hAnsiTheme="minorHAnsi" w:cstheme="minorHAnsi"/>
          <w:spacing w:val="-4"/>
          <w:sz w:val="20"/>
          <w:szCs w:val="20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8549C6" w14:paraId="5F6F6DFC" w14:textId="7777777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14:paraId="4415E5D0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71E405F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konieczne </w:t>
            </w:r>
          </w:p>
          <w:p w14:paraId="7E982DE3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(dopuszczająca)</w:t>
            </w:r>
          </w:p>
          <w:p w14:paraId="2F255234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45CF6EBB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podstawowe </w:t>
            </w:r>
          </w:p>
          <w:p w14:paraId="41D7CD9B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(dostateczna)</w:t>
            </w:r>
          </w:p>
          <w:p w14:paraId="0EF78CB4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49DD7D41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rozszerzone </w:t>
            </w:r>
          </w:p>
          <w:p w14:paraId="511AF25D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(dobra)</w:t>
            </w:r>
          </w:p>
          <w:p w14:paraId="11D0CC21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233C883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 xml:space="preserve">Wymagania dopełniające </w:t>
            </w:r>
          </w:p>
          <w:p w14:paraId="679FF7BE" w14:textId="77777777" w:rsidR="0022150A" w:rsidRPr="008549C6" w:rsidRDefault="0022150A" w:rsidP="00FB7CB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(b. dobra i celująca)</w:t>
            </w:r>
          </w:p>
          <w:p w14:paraId="7EF03007" w14:textId="77777777" w:rsidR="0022150A" w:rsidRPr="008549C6" w:rsidRDefault="0022150A" w:rsidP="00FB7CB9">
            <w:pPr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/>
                <w:color w:val="FFFFFF" w:themeColor="background1"/>
                <w:spacing w:val="-4"/>
                <w:sz w:val="20"/>
                <w:szCs w:val="20"/>
              </w:rPr>
              <w:t>Uczeń:</w:t>
            </w:r>
          </w:p>
        </w:tc>
      </w:tr>
      <w:tr w:rsidR="0022150A" w:rsidRPr="008549C6" w14:paraId="3F2DC888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0DB36AF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>12.1.</w:t>
            </w: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Źródła światła. 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4CDC520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50FFF2A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sposób wykazania, że światło rozchodzi się po liniach prostych (9.1)</w:t>
            </w:r>
          </w:p>
          <w:p w14:paraId="31BCE459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690E800" w14:textId="77777777" w:rsidR="0022150A" w:rsidRPr="008549C6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powstawanie obszarów cienia i półcienia za pomocą prostoliniowego rozchodzenia się światła w ośrodku jednorodnym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0210E48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117717A6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A72E44B" w14:textId="77777777" w:rsidR="0022150A" w:rsidRPr="008549C6" w:rsidRDefault="0022150A" w:rsidP="00FB7CB9">
            <w:pPr>
              <w:pStyle w:val="tabelabold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12.2. Odbicie światła. Obrazy 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4ACF7C0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AA946CE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zjawisko odbicia światła od powierzchni gładkiej, wskazuje kąt padania i kąt odbicia (9.2)</w:t>
            </w:r>
          </w:p>
          <w:p w14:paraId="4B0E46AB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DB9F572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620A02C2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rysuje konstrukcyjnie obrazy otrzymywane w zwierciadle płaskim (9.5)</w:t>
            </w:r>
          </w:p>
          <w:p w14:paraId="3518BF7E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</w:tr>
      <w:tr w:rsidR="0022150A" w:rsidRPr="008549C6" w14:paraId="71DF6DD3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0D2EABD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>12.3.</w:t>
            </w: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Otrzymywanie obrazów w 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6840750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szkicuje zwierciadła kuliste wklęsłe i wypukłe (9.4)</w:t>
            </w:r>
          </w:p>
          <w:p w14:paraId="221959D0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wskazuje oś optyczną główną, ognisko, ogniskową i promień krzywizny zwierciadła (9.4)</w:t>
            </w:r>
          </w:p>
          <w:p w14:paraId="41973A8F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wykreśla bieg wiązki promieni równoległych do osi optycznej po </w: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odbiciu od zwierciadła (9.4)</w:t>
            </w:r>
          </w:p>
          <w:p w14:paraId="61AE4A0D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65BC736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podstawie obserwacji powstawania obrazów (9.14a) wymienia cechy obrazów otrzymywanych w zwierciadle kulistym (9.5)</w:t>
            </w:r>
          </w:p>
          <w:p w14:paraId="39F65170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99F020A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rysuje konstrukcyjnie obrazy otrzymywane za pomocą zwierciadła wklęsłego (9.5)</w:t>
            </w:r>
          </w:p>
          <w:p w14:paraId="241E16FF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powstawanie obrazów w zwierciadłach wklęsłych i wypukłych (9.4, 9.14a)</w:t>
            </w:r>
          </w:p>
          <w:p w14:paraId="3164F48D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9069CBE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rysuje konstrukcyjnie ognisko pozorne zwierciadła wypukłego i objaśnia jego powstawanie (9.4, 9.5)</w:t>
            </w:r>
          </w:p>
          <w:p w14:paraId="5DB7DE7E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rysuje konstrukcyjnie obrazy otrzymywane za pomocą zwierciadła wypukłego (9.5)</w:t>
            </w:r>
          </w:p>
        </w:tc>
      </w:tr>
      <w:tr w:rsidR="0022150A" w:rsidRPr="008549C6" w14:paraId="015E30FF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38520A1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12.4. </w:t>
            </w: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Załamanie światła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5418665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DCDBC96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8C8B5E9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6F78962" w14:textId="77777777" w:rsidR="0022150A" w:rsidRPr="008549C6" w:rsidRDefault="0022150A" w:rsidP="00FB7CB9">
            <w:pPr>
              <w:pStyle w:val="tabelakropka"/>
              <w:spacing w:line="252" w:lineRule="auto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8549C6" w14:paraId="68174673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158A698D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12.5. Przejście wiązki światła 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A000190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światło białe jako mieszaninę barw (9.10)</w:t>
            </w:r>
          </w:p>
          <w:p w14:paraId="6D48F79E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23506C33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F53A77C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pojęcie światła jednobarwnego (monochromatycznego) i prezentuje je za pomocą wskaźnika laserowego (9.11)</w:t>
            </w:r>
          </w:p>
          <w:p w14:paraId="274D1A6A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wyjaśnia, na czym polega widzenie barwne (9.10)</w:t>
            </w:r>
          </w:p>
          <w:p w14:paraId="53FB0A3B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0C45C56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50A" w:rsidRPr="008549C6" w14:paraId="10D23362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5FF6A99A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14D57481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bieg promieni równoległych do osi optycznej, przechodzących przez soczewkę skupiającą i rozpraszającą (9.7)</w:t>
            </w:r>
          </w:p>
          <w:p w14:paraId="5BE3407E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82E147D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AD4DCC5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doświadczalnie znajduje ognisko i mierzy ogniskową soczewki skupiającej (9.7)</w:t>
            </w:r>
          </w:p>
          <w:p w14:paraId="332657D8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oblicza zdolność skupiającą soczewki ze wzoru </w:t>
            </w:r>
            <w:r w:rsidRPr="008549C6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540" w:dyaOrig="540" w14:anchorId="47A7FFF4">
                <v:shape id="_x0000_i1047" type="#_x0000_t75" style="width:27pt;height:26.25pt" o:ole="">
                  <v:imagedata r:id="rId49" o:title=""/>
                </v:shape>
                <o:OLEObject Type="Embed" ProgID="Equation.DSMT4" ShapeID="_x0000_i1047" DrawAspect="Content" ObjectID="_1745182170" r:id="rId50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104D0FC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150A" w:rsidRPr="008549C6" w14:paraId="10C90ED7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6B09F64A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12.7. Obrazy otrzymywane za 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83A5DDB" w14:textId="77777777" w:rsidR="0022150A" w:rsidRPr="008549C6" w:rsidRDefault="0022150A" w:rsidP="00FB7CB9">
            <w:pPr>
              <w:pStyle w:val="tabelakropka"/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722F86D4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wytwarza za pomocą soczewki skupiającej ostry obraz przedmiotu na ekranie (9.14a, 9.14b)</w:t>
            </w:r>
          </w:p>
          <w:p w14:paraId="24545EFD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rysuje konstrukcje obrazów otrzymywanych za pomocą soczewek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3CCE002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5BA8D3B" w14:textId="77777777" w:rsidR="0022150A" w:rsidRPr="008549C6" w:rsidRDefault="0022150A" w:rsidP="00FB7CB9">
            <w:pPr>
              <w:pStyle w:val="tabelakropka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na podstawie materiałów źródłowych opisuje zasadę działania prostych przyrządów optycznych (wym. ogólne IV)</w:t>
            </w:r>
          </w:p>
        </w:tc>
      </w:tr>
      <w:tr w:rsidR="0022150A" w:rsidRPr="008549C6" w14:paraId="24AD61EE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0C4B1212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12.8. Wady wzroku. Krótkowzroczność i dalekowzroczność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700E65A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3891CBCF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wyjaśnia, na czym polegają krótkowzroczność i dalekowzroczność (9.9)</w:t>
            </w:r>
          </w:p>
          <w:p w14:paraId="4C44981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E8CA185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opisuje rolę soczewek w korygowaniu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41D575C" w14:textId="77777777" w:rsidR="0022150A" w:rsidRPr="008549C6" w:rsidRDefault="0022150A" w:rsidP="00FB7CB9">
            <w:pPr>
              <w:pStyle w:val="tabelakropka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podaje znak zdolności skupiającej soczewek korygujących krótkowzroczność i dalekowzroczność (9.9)</w:t>
            </w:r>
          </w:p>
        </w:tc>
      </w:tr>
      <w:tr w:rsidR="0022150A" w:rsidRPr="008549C6" w14:paraId="059D6941" w14:textId="77777777" w:rsidTr="00FB7CB9">
        <w:tc>
          <w:tcPr>
            <w:tcW w:w="1908" w:type="dxa"/>
            <w:tcMar>
              <w:left w:w="57" w:type="dxa"/>
              <w:right w:w="57" w:type="dxa"/>
            </w:tcMar>
          </w:tcPr>
          <w:p w14:paraId="2A92A487" w14:textId="77777777" w:rsidR="0022150A" w:rsidRPr="008549C6" w:rsidRDefault="0022150A" w:rsidP="00FB7CB9">
            <w:pPr>
              <w:pStyle w:val="tabelabold"/>
              <w:spacing w:before="20" w:after="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b w:val="0"/>
                <w:sz w:val="20"/>
                <w:szCs w:val="20"/>
              </w:rPr>
              <w:t>12.9. Porównujemy fale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56BEAA4E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14:paraId="6B985550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wymienia cechy wspólne i różnice w rozchodzeniu się fal mechanicznych i elektromagnetycznych (9.13)</w:t>
            </w:r>
          </w:p>
          <w:p w14:paraId="4E0DDC3E" w14:textId="77777777" w:rsidR="0022150A" w:rsidRPr="008549C6" w:rsidRDefault="0022150A" w:rsidP="00FB7CB9">
            <w:pPr>
              <w:pStyle w:val="tabelakropka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04C70BDF" w14:textId="77777777" w:rsidR="0022150A" w:rsidRPr="008549C6" w:rsidRDefault="0022150A" w:rsidP="00FB7CB9">
            <w:pPr>
              <w:pStyle w:val="tabelakropka"/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wykorzystuje do obliczeń związek </w:t>
            </w:r>
            <w:r w:rsidRPr="008549C6">
              <w:rPr>
                <w:rFonts w:asciiTheme="minorHAnsi" w:hAnsiTheme="minorHAnsi" w:cstheme="minorHAnsi"/>
                <w:position w:val="-24"/>
                <w:sz w:val="20"/>
                <w:szCs w:val="20"/>
              </w:rPr>
              <w:object w:dxaOrig="520" w:dyaOrig="540" w14:anchorId="13130278">
                <v:shape id="_x0000_i1048" type="#_x0000_t75" style="width:26.25pt;height:26.25pt" o:ole="">
                  <v:imagedata r:id="rId51" o:title=""/>
                </v:shape>
                <o:OLEObject Type="Embed" ProgID="Equation.DSMT4" ShapeID="_x0000_i1048" DrawAspect="Content" ObjectID="_1745182171" r:id="rId52"/>
              </w:object>
            </w: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 xml:space="preserve"> (9.13)</w:t>
            </w:r>
          </w:p>
          <w:p w14:paraId="631F1937" w14:textId="77777777" w:rsidR="0022150A" w:rsidRPr="008549C6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3B173D74" w14:textId="77777777" w:rsidR="0022150A" w:rsidRPr="008549C6" w:rsidRDefault="0022150A" w:rsidP="00FB7CB9">
            <w:pPr>
              <w:pStyle w:val="tabelakropka"/>
              <w:spacing w:line="25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49C6">
              <w:rPr>
                <w:rFonts w:asciiTheme="minorHAnsi" w:hAnsiTheme="minorHAnsi" w:cstheme="minorHAnsi"/>
                <w:sz w:val="20"/>
                <w:szCs w:val="20"/>
              </w:rPr>
              <w:t>wyjaśnia transport energii przez fale elektromagnetyczne (9.13)</w:t>
            </w:r>
          </w:p>
        </w:tc>
      </w:tr>
    </w:tbl>
    <w:p w14:paraId="02DB9B7D" w14:textId="77777777" w:rsidR="0022150A" w:rsidRPr="008549C6" w:rsidRDefault="0022150A" w:rsidP="0022150A">
      <w:pPr>
        <w:rPr>
          <w:rFonts w:asciiTheme="minorHAnsi" w:hAnsiTheme="minorHAnsi" w:cstheme="minorHAnsi"/>
          <w:spacing w:val="-4"/>
          <w:sz w:val="20"/>
          <w:szCs w:val="20"/>
        </w:rPr>
      </w:pPr>
    </w:p>
    <w:p w14:paraId="3DE8B8B7" w14:textId="77777777" w:rsidR="0022150A" w:rsidRPr="008549C6" w:rsidRDefault="0022150A" w:rsidP="0022150A">
      <w:pPr>
        <w:pStyle w:val="tytu03"/>
        <w:spacing w:before="0" w:after="60"/>
        <w:rPr>
          <w:rFonts w:asciiTheme="minorHAnsi" w:hAnsiTheme="minorHAnsi" w:cstheme="minorHAnsi"/>
          <w:spacing w:val="-4"/>
          <w:sz w:val="20"/>
          <w:szCs w:val="20"/>
        </w:rPr>
      </w:pPr>
    </w:p>
    <w:p w14:paraId="074C211B" w14:textId="77777777" w:rsidR="008549C6" w:rsidRPr="008549C6" w:rsidRDefault="008549C6" w:rsidP="008549C6">
      <w:pPr>
        <w:rPr>
          <w:rFonts w:asciiTheme="minorHAnsi" w:hAnsiTheme="minorHAnsi" w:cstheme="minorHAnsi"/>
          <w:b/>
          <w:spacing w:val="-4"/>
          <w:sz w:val="20"/>
          <w:szCs w:val="20"/>
        </w:rPr>
      </w:pPr>
      <w:r w:rsidRPr="008549C6">
        <w:rPr>
          <w:rFonts w:asciiTheme="minorHAnsi" w:hAnsiTheme="minorHAnsi" w:cstheme="minorHAnsi"/>
          <w:b/>
          <w:spacing w:val="-4"/>
          <w:sz w:val="20"/>
          <w:szCs w:val="20"/>
        </w:rPr>
        <w:t xml:space="preserve">Ocenę niedostateczny otrzymuje </w:t>
      </w:r>
      <w:r w:rsidRPr="008549C6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8549C6">
        <w:rPr>
          <w:rFonts w:asciiTheme="minorHAnsi" w:hAnsiTheme="minorHAnsi" w:cstheme="minorHAnsi"/>
          <w:b/>
          <w:spacing w:val="-4"/>
          <w:sz w:val="20"/>
          <w:szCs w:val="20"/>
        </w:rPr>
        <w:t>u</w:t>
      </w:r>
      <w:r w:rsidRPr="008549C6">
        <w:rPr>
          <w:rFonts w:asciiTheme="minorHAnsi" w:hAnsiTheme="minorHAnsi" w:cstheme="minorHAnsi"/>
          <w:b/>
          <w:spacing w:val="-4"/>
          <w:sz w:val="20"/>
          <w:szCs w:val="20"/>
        </w:rPr>
        <w:t xml:space="preserve">czeń </w:t>
      </w:r>
      <w:r w:rsidRPr="008549C6">
        <w:rPr>
          <w:rFonts w:asciiTheme="minorHAnsi" w:hAnsiTheme="minorHAnsi" w:cstheme="minorHAnsi"/>
          <w:b/>
          <w:spacing w:val="-4"/>
          <w:sz w:val="20"/>
          <w:szCs w:val="20"/>
        </w:rPr>
        <w:t xml:space="preserve">, który </w:t>
      </w:r>
      <w:r w:rsidRPr="008549C6">
        <w:rPr>
          <w:rFonts w:asciiTheme="minorHAnsi" w:hAnsiTheme="minorHAnsi" w:cstheme="minorHAnsi"/>
          <w:b/>
          <w:spacing w:val="-4"/>
          <w:sz w:val="20"/>
          <w:szCs w:val="20"/>
        </w:rPr>
        <w:t xml:space="preserve">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</w:t>
      </w:r>
    </w:p>
    <w:p w14:paraId="17F630B5" w14:textId="6B1B0999" w:rsidR="008549C6" w:rsidRPr="008549C6" w:rsidRDefault="008549C6" w:rsidP="008549C6">
      <w:pPr>
        <w:rPr>
          <w:rFonts w:asciiTheme="minorHAnsi" w:hAnsiTheme="minorHAnsi" w:cstheme="minorHAnsi"/>
          <w:b/>
          <w:spacing w:val="-4"/>
          <w:sz w:val="20"/>
          <w:szCs w:val="20"/>
        </w:rPr>
      </w:pPr>
      <w:r w:rsidRPr="008549C6">
        <w:rPr>
          <w:rFonts w:asciiTheme="minorHAnsi" w:hAnsiTheme="minorHAnsi" w:cstheme="minorHAnsi"/>
          <w:b/>
          <w:spacing w:val="-4"/>
          <w:sz w:val="20"/>
          <w:szCs w:val="20"/>
        </w:rPr>
        <w:t xml:space="preserve">Wykazuje niechęć do pracy na lekcjach i pracy własnej, nie korzysta z udzielanej pomocy w nauce. </w:t>
      </w:r>
    </w:p>
    <w:p w14:paraId="24032811" w14:textId="77777777" w:rsidR="0022150A" w:rsidRPr="008549C6" w:rsidRDefault="0022150A" w:rsidP="0022150A">
      <w:pPr>
        <w:pStyle w:val="tytu03"/>
        <w:spacing w:before="0" w:after="60"/>
        <w:rPr>
          <w:rFonts w:asciiTheme="minorHAnsi" w:hAnsiTheme="minorHAnsi" w:cstheme="minorHAnsi"/>
          <w:spacing w:val="-4"/>
          <w:sz w:val="20"/>
          <w:szCs w:val="20"/>
        </w:rPr>
      </w:pPr>
    </w:p>
    <w:p w14:paraId="2824C7A7" w14:textId="77777777" w:rsidR="006B5810" w:rsidRPr="008549C6" w:rsidRDefault="006B5810" w:rsidP="001E4CB0">
      <w:pPr>
        <w:ind w:left="142"/>
        <w:rPr>
          <w:rFonts w:asciiTheme="minorHAnsi" w:hAnsiTheme="minorHAnsi" w:cstheme="minorHAnsi"/>
          <w:color w:val="F09120"/>
          <w:sz w:val="20"/>
          <w:szCs w:val="20"/>
        </w:rPr>
      </w:pPr>
    </w:p>
    <w:sectPr w:rsidR="006B5810" w:rsidRPr="008549C6" w:rsidSect="001E4CB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AD3F" w14:textId="77777777" w:rsidR="00D3568B" w:rsidRDefault="00D3568B" w:rsidP="00285D6F">
      <w:r>
        <w:separator/>
      </w:r>
    </w:p>
  </w:endnote>
  <w:endnote w:type="continuationSeparator" w:id="0">
    <w:p w14:paraId="4F903686" w14:textId="77777777" w:rsidR="00D3568B" w:rsidRDefault="00D3568B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E803" w14:textId="77777777" w:rsidR="002C7F8D" w:rsidRDefault="002C7F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9E99" w14:textId="5BDD53CD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anchorId="5D867AAC" wp14:editId="0B1D0FD9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A39A28" id="Łącznik prostoliniowy 3" o:spid="_x0000_s1026" style="position:absolute;z-index:251730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 w:rsidR="003F26A8">
      <w:tab/>
    </w:r>
    <w:r w:rsidR="003F26A8">
      <w:tab/>
    </w:r>
    <w:r w:rsidR="003F26A8">
      <w:tab/>
    </w:r>
    <w:r w:rsidR="003F26A8">
      <w:tab/>
    </w:r>
  </w:p>
  <w:p w14:paraId="01B238AA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790848" behindDoc="0" locked="0" layoutInCell="1" allowOverlap="1" wp14:anchorId="74F5B8DE" wp14:editId="11C20FF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118E9" id="Łącznik prostoliniowy 5" o:spid="_x0000_s1026" style="position:absolute;z-index:25179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2D348682" w14:textId="54E4BB69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</w:p>
  <w:p w14:paraId="5318FE46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F26A8">
      <w:rPr>
        <w:noProof/>
      </w:rPr>
      <w:t>1</w:t>
    </w:r>
    <w:r>
      <w:fldChar w:fldCharType="end"/>
    </w:r>
  </w:p>
  <w:p w14:paraId="00DF9422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EF0D" w14:textId="77777777" w:rsidR="002C7F8D" w:rsidRDefault="002C7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7ADB" w14:textId="77777777" w:rsidR="00D3568B" w:rsidRDefault="00D3568B" w:rsidP="00285D6F">
      <w:r>
        <w:separator/>
      </w:r>
    </w:p>
  </w:footnote>
  <w:footnote w:type="continuationSeparator" w:id="0">
    <w:p w14:paraId="5BEE3BC3" w14:textId="77777777" w:rsidR="00D3568B" w:rsidRDefault="00D3568B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3E13" w14:textId="77777777" w:rsidR="002C7F8D" w:rsidRDefault="002C7F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C57E" w14:textId="11375E91"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14:paraId="3663BCA6" w14:textId="2EE0BC3C" w:rsidR="00285D6F" w:rsidRDefault="00285D6F" w:rsidP="002C7F8D">
    <w:pPr>
      <w:pStyle w:val="Nagwek"/>
      <w:tabs>
        <w:tab w:val="clear" w:pos="9072"/>
      </w:tabs>
      <w:ind w:right="-28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DAA2" w14:textId="77777777" w:rsidR="002C7F8D" w:rsidRDefault="002C7F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8885675">
    <w:abstractNumId w:val="5"/>
  </w:num>
  <w:num w:numId="2" w16cid:durableId="2099524463">
    <w:abstractNumId w:val="1"/>
  </w:num>
  <w:num w:numId="3" w16cid:durableId="1721904105">
    <w:abstractNumId w:val="4"/>
  </w:num>
  <w:num w:numId="4" w16cid:durableId="444420548">
    <w:abstractNumId w:val="0"/>
  </w:num>
  <w:num w:numId="5" w16cid:durableId="44254380">
    <w:abstractNumId w:val="3"/>
  </w:num>
  <w:num w:numId="6" w16cid:durableId="1058631337">
    <w:abstractNumId w:val="6"/>
  </w:num>
  <w:num w:numId="7" w16cid:durableId="1110977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1E4CB0"/>
    <w:rsid w:val="001F0820"/>
    <w:rsid w:val="0022150A"/>
    <w:rsid w:val="00245DA5"/>
    <w:rsid w:val="00285D6F"/>
    <w:rsid w:val="002C7F8D"/>
    <w:rsid w:val="002F1910"/>
    <w:rsid w:val="003145F7"/>
    <w:rsid w:val="00317434"/>
    <w:rsid w:val="003572A4"/>
    <w:rsid w:val="003B19DC"/>
    <w:rsid w:val="003F26A8"/>
    <w:rsid w:val="00435B7E"/>
    <w:rsid w:val="00592B22"/>
    <w:rsid w:val="00602ABB"/>
    <w:rsid w:val="006257F7"/>
    <w:rsid w:val="00672759"/>
    <w:rsid w:val="006B5810"/>
    <w:rsid w:val="007502C7"/>
    <w:rsid w:val="007963FD"/>
    <w:rsid w:val="00797D39"/>
    <w:rsid w:val="007B3CB5"/>
    <w:rsid w:val="0083577E"/>
    <w:rsid w:val="008549C6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63701"/>
    <w:rsid w:val="00D22D55"/>
    <w:rsid w:val="00D3568B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AF021DF"/>
  <w15:docId w15:val="{A69F576E-6F83-48DE-942A-9F911C57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67A8-1846-4B33-AC2A-112F95D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2766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Karolina Mikołajczyk</cp:lastModifiedBy>
  <cp:revision>14</cp:revision>
  <dcterms:created xsi:type="dcterms:W3CDTF">2015-05-26T09:01:00Z</dcterms:created>
  <dcterms:modified xsi:type="dcterms:W3CDTF">2023-05-09T22:02:00Z</dcterms:modified>
</cp:coreProperties>
</file>