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718" w14:textId="4BF54CE7" w:rsidR="00657A05" w:rsidRPr="006F06DF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sz w:val="32"/>
          <w:szCs w:val="32"/>
        </w:rPr>
      </w:pPr>
      <w:r w:rsidRPr="006F06DF">
        <w:rPr>
          <w:rFonts w:cs="AgendaPl-Semibold"/>
          <w:b/>
          <w:sz w:val="32"/>
          <w:szCs w:val="32"/>
        </w:rPr>
        <w:t>Wymagania na poszczególne oceny szkolne</w:t>
      </w:r>
      <w:r w:rsidR="00B06BD5">
        <w:rPr>
          <w:rFonts w:cs="AgendaPl-Semibold"/>
          <w:b/>
          <w:sz w:val="32"/>
          <w:szCs w:val="32"/>
        </w:rPr>
        <w:t>- k</w:t>
      </w:r>
      <w:r w:rsidRPr="006F06DF">
        <w:rPr>
          <w:rFonts w:cs="AgendaPl-Semibold"/>
          <w:b/>
          <w:sz w:val="32"/>
          <w:szCs w:val="32"/>
        </w:rPr>
        <w:t>lasa 8</w:t>
      </w:r>
    </w:p>
    <w:p w14:paraId="71E5D51F" w14:textId="0D53F5FE" w:rsidR="00657A05" w:rsidRPr="006F06DF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sz w:val="24"/>
          <w:szCs w:val="20"/>
        </w:rPr>
      </w:pPr>
      <w:r w:rsidRPr="006F06DF">
        <w:rPr>
          <w:rFonts w:cs="Dutch801HdEU-Normal"/>
          <w:sz w:val="24"/>
          <w:szCs w:val="20"/>
        </w:rPr>
        <w:t>Ocena postępów ucznia jest wynikiem oceny stopnia opanowania jego umiejętności podstawowych i ponadpodstawowych.</w:t>
      </w:r>
    </w:p>
    <w:p w14:paraId="192E0B90" w14:textId="77777777" w:rsidR="004A3BF9" w:rsidRPr="006F06DF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 xml:space="preserve">ocena dopuszczająca </w:t>
      </w:r>
      <w:r w:rsidRPr="006F06DF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6F06DF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6F06DF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 xml:space="preserve">ocena dostateczna </w:t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6F06DF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6F06DF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 xml:space="preserve">ocena dobra </w:t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6F06DF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6F06DF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 xml:space="preserve">ocena bardzo dobra </w:t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6F06DF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6F06DF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6F06DF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AgendaPl-Bold"/>
          <w:b/>
          <w:bCs/>
          <w:sz w:val="24"/>
          <w:szCs w:val="20"/>
        </w:rPr>
        <w:t xml:space="preserve">ocena celująca </w:t>
      </w:r>
      <w:r w:rsidRPr="006F06DF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6F06DF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6F06DF">
        <w:rPr>
          <w:rFonts w:ascii="Calibri" w:eastAsia="Calibri" w:hAnsi="Calibri" w:cs="Dutch801HdEU-Normal"/>
          <w:sz w:val="24"/>
          <w:szCs w:val="20"/>
        </w:rPr>
        <w:t>i potrafi je wykorzystać w sytuacjach nietypowych.</w:t>
      </w:r>
    </w:p>
    <w:p w14:paraId="68011A21" w14:textId="77777777" w:rsidR="004A3BF9" w:rsidRPr="006F06DF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sz w:val="24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14:paraId="23D0C598" w14:textId="77777777" w:rsidTr="006F06DF">
        <w:tc>
          <w:tcPr>
            <w:tcW w:w="2358" w:type="dxa"/>
            <w:vMerge w:val="restart"/>
            <w:shd w:val="clear" w:color="auto" w:fill="auto"/>
            <w:vAlign w:val="center"/>
          </w:tcPr>
          <w:p w14:paraId="0D544B65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auto"/>
            <w:vAlign w:val="center"/>
          </w:tcPr>
          <w:p w14:paraId="75DD0847" w14:textId="037BC241" w:rsidR="00657A05" w:rsidRPr="006F06DF" w:rsidRDefault="006F06DF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14:paraId="3B937A8A" w14:textId="3DD7EF36" w:rsidR="00657A05" w:rsidRPr="006F06DF" w:rsidRDefault="006F06DF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ponadpodstawowe</w:t>
            </w:r>
          </w:p>
        </w:tc>
      </w:tr>
      <w:tr w:rsidR="00ED22A8" w:rsidRPr="009B498E" w14:paraId="5A8FCB41" w14:textId="77777777" w:rsidTr="006F06DF">
        <w:tc>
          <w:tcPr>
            <w:tcW w:w="2358" w:type="dxa"/>
            <w:vMerge/>
            <w:shd w:val="clear" w:color="auto" w:fill="auto"/>
            <w:vAlign w:val="center"/>
          </w:tcPr>
          <w:p w14:paraId="1B391A4F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6B1CE51" w14:textId="35C0925B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rFonts w:cs="AgendaPl-BoldCondensed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5F85F9" w14:textId="7CBA8C4B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rFonts w:cs="AgendaPl-BoldCondensed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33EA7D" w14:textId="75073EA9" w:rsidR="00657A05" w:rsidRPr="006F06DF" w:rsidRDefault="00657A05" w:rsidP="006F06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rFonts w:cs="AgendaPl-BoldCondensed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06FA5A" w14:textId="309D999C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rFonts w:cs="AgendaPl-BoldCondensed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9BC5EDB" w14:textId="1E0DD309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rFonts w:cs="AgendaPl-BoldCondensed"/>
                <w:b/>
                <w:bCs/>
                <w:sz w:val="24"/>
                <w:szCs w:val="24"/>
              </w:rPr>
              <w:t>ocena celując</w:t>
            </w:r>
            <w:r w:rsidR="00475246" w:rsidRPr="006F06DF">
              <w:rPr>
                <w:rFonts w:cs="AgendaPl-BoldCondensed"/>
                <w:b/>
                <w:bCs/>
                <w:sz w:val="24"/>
                <w:szCs w:val="24"/>
              </w:rPr>
              <w:t>a</w:t>
            </w:r>
          </w:p>
        </w:tc>
      </w:tr>
      <w:tr w:rsidR="00ED22A8" w:rsidRPr="009B498E" w14:paraId="27557115" w14:textId="77777777" w:rsidTr="006F06DF">
        <w:tc>
          <w:tcPr>
            <w:tcW w:w="2358" w:type="dxa"/>
            <w:shd w:val="clear" w:color="auto" w:fill="auto"/>
            <w:vAlign w:val="center"/>
          </w:tcPr>
          <w:p w14:paraId="59755254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4E458EE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3451F7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D3950B7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DA4A1B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359CE8C" w14:textId="77777777" w:rsidR="00657A05" w:rsidRPr="006F06DF" w:rsidRDefault="00657A05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6F06DF">
        <w:tc>
          <w:tcPr>
            <w:tcW w:w="14159" w:type="dxa"/>
            <w:gridSpan w:val="6"/>
            <w:shd w:val="clear" w:color="auto" w:fill="auto"/>
          </w:tcPr>
          <w:p w14:paraId="13DFEA27" w14:textId="77777777" w:rsidR="00BF6491" w:rsidRPr="006F06DF" w:rsidRDefault="00573E89" w:rsidP="006F06DF">
            <w:pPr>
              <w:jc w:val="center"/>
              <w:rPr>
                <w:b/>
                <w:sz w:val="24"/>
                <w:szCs w:val="24"/>
              </w:rPr>
            </w:pPr>
            <w:r w:rsidRPr="006F06DF">
              <w:rPr>
                <w:b/>
                <w:sz w:val="24"/>
                <w:szCs w:val="24"/>
              </w:rPr>
              <w:t>D</w:t>
            </w:r>
            <w:r w:rsidR="006316A6" w:rsidRPr="006F06DF">
              <w:rPr>
                <w:b/>
                <w:sz w:val="24"/>
                <w:szCs w:val="24"/>
              </w:rPr>
              <w:t xml:space="preserve">ZIAŁ </w:t>
            </w:r>
            <w:r w:rsidRPr="006F06DF">
              <w:rPr>
                <w:b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drugiego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trzeciego stopnia, jeśli są liczbami 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B06BD5">
        <w:tc>
          <w:tcPr>
            <w:tcW w:w="14159" w:type="dxa"/>
            <w:gridSpan w:val="6"/>
            <w:shd w:val="clear" w:color="auto" w:fill="auto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B06BD5">
              <w:rPr>
                <w:b/>
                <w:sz w:val="24"/>
                <w:szCs w:val="24"/>
              </w:rPr>
              <w:t>D</w:t>
            </w:r>
            <w:r w:rsidR="009B498E" w:rsidRPr="00B06BD5">
              <w:rPr>
                <w:b/>
                <w:sz w:val="24"/>
                <w:szCs w:val="24"/>
              </w:rPr>
              <w:t xml:space="preserve">ZIAŁ </w:t>
            </w:r>
            <w:r w:rsidRPr="00B06BD5">
              <w:rPr>
                <w:b/>
                <w:sz w:val="24"/>
                <w:szCs w:val="24"/>
              </w:rPr>
              <w:t>2</w:t>
            </w:r>
            <w:r w:rsidR="00BF6491" w:rsidRPr="00B06BD5">
              <w:rPr>
                <w:b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jednego z boków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743403700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743403701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743403702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743403703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743403704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743403705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743403706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743403707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743403708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743403709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743403710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743403711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743403712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743403713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743403714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743403715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743403716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743403717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743403718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743403719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743403720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743403721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743403722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743403723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wzory 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zastosowań twierdzenia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 xml:space="preserve">zastosowaniem twierdzenia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B06BD5">
        <w:tc>
          <w:tcPr>
            <w:tcW w:w="14159" w:type="dxa"/>
            <w:gridSpan w:val="6"/>
            <w:shd w:val="clear" w:color="auto" w:fill="auto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lastRenderedPageBreak/>
              <w:t>D</w:t>
            </w:r>
            <w:r w:rsidR="000366A8" w:rsidRPr="00B06BD5">
              <w:rPr>
                <w:rFonts w:asciiTheme="minorHAnsi" w:hAnsiTheme="minorHAnsi" w:cs="AgendaPl BoldCondensed"/>
                <w:b/>
                <w:bCs/>
              </w:rPr>
              <w:t xml:space="preserve">ZIAŁ </w:t>
            </w:r>
            <w:r w:rsidR="00981CC4" w:rsidRPr="00B06BD5">
              <w:rPr>
                <w:rFonts w:asciiTheme="minorHAnsi" w:hAnsiTheme="minorHAnsi" w:cs="AgendaPl BoldCondensed"/>
                <w:b/>
                <w:bCs/>
              </w:rPr>
              <w:t>3</w:t>
            </w:r>
            <w:r w:rsidR="00BF6491" w:rsidRPr="00B06BD5">
              <w:rPr>
                <w:rFonts w:asciiTheme="minorHAnsi" w:hAnsiTheme="minorHAnsi" w:cs="AgendaPl BoldCondensed"/>
                <w:b/>
                <w:bCs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lastRenderedPageBreak/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powierzchni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powierzchni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graniastosłupa, gdy dana jest jego 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B06BD5">
        <w:tc>
          <w:tcPr>
            <w:tcW w:w="14159" w:type="dxa"/>
            <w:gridSpan w:val="6"/>
            <w:shd w:val="clear" w:color="auto" w:fill="auto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t>D</w:t>
            </w:r>
            <w:r w:rsidR="000366A8" w:rsidRPr="00B06BD5">
              <w:rPr>
                <w:rFonts w:asciiTheme="minorHAnsi" w:hAnsiTheme="minorHAnsi" w:cs="AgendaPl BoldCondensed"/>
                <w:b/>
                <w:bCs/>
              </w:rPr>
              <w:t>ZIAŁ</w:t>
            </w:r>
            <w:r w:rsidRPr="00B06BD5">
              <w:rPr>
                <w:rFonts w:asciiTheme="minorHAnsi" w:hAnsiTheme="minorHAnsi" w:cs="AgendaPl BoldCondensed"/>
                <w:b/>
                <w:bCs/>
              </w:rPr>
              <w:t xml:space="preserve"> 4</w:t>
            </w:r>
            <w:r w:rsidR="00157ACB" w:rsidRPr="00B06BD5">
              <w:rPr>
                <w:rFonts w:asciiTheme="minorHAnsi" w:hAnsiTheme="minorHAnsi" w:cs="AgendaPl BoldCondensed"/>
                <w:b/>
                <w:bCs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>ści od liczby 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liczbę ścian ostrosłupa, gdy dana jest liczba krawędzi lub wierzchołków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ków (np. krawędzi, wysokości ścian bocznych)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 xml:space="preserve">Objętość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wzór na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objętość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objętość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 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B06BD5">
        <w:tc>
          <w:tcPr>
            <w:tcW w:w="14159" w:type="dxa"/>
            <w:gridSpan w:val="6"/>
            <w:shd w:val="clear" w:color="auto" w:fill="auto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t>D</w:t>
            </w:r>
            <w:r w:rsidR="000366A8" w:rsidRPr="00B06BD5">
              <w:rPr>
                <w:rFonts w:asciiTheme="minorHAnsi" w:hAnsiTheme="minorHAnsi" w:cs="AgendaPl BoldCondensed"/>
                <w:b/>
                <w:bCs/>
              </w:rPr>
              <w:t>ZIAŁ</w:t>
            </w:r>
            <w:r w:rsidRPr="00B06BD5">
              <w:rPr>
                <w:rFonts w:asciiTheme="minorHAnsi" w:hAnsiTheme="minorHAnsi" w:cs="AgendaPl BoldCondensed"/>
                <w:b/>
                <w:bCs/>
              </w:rPr>
              <w:t xml:space="preserve"> 5</w:t>
            </w:r>
            <w:r w:rsidR="00F5289A" w:rsidRPr="00B06BD5">
              <w:rPr>
                <w:rFonts w:asciiTheme="minorHAnsi" w:hAnsiTheme="minorHAnsi" w:cs="AgendaPl BoldCondensed"/>
                <w:b/>
                <w:bCs/>
              </w:rPr>
              <w:t xml:space="preserve">. </w:t>
            </w:r>
            <w:r w:rsidR="00944131" w:rsidRPr="00B06BD5">
              <w:rPr>
                <w:rFonts w:asciiTheme="minorHAnsi" w:hAnsiTheme="minorHAnsi" w:cs="AgendaPl BoldCondensed"/>
                <w:b/>
                <w:bCs/>
              </w:rPr>
              <w:t xml:space="preserve">STATYSTYKA I </w:t>
            </w:r>
            <w:r w:rsidR="00406CF9" w:rsidRPr="00B06BD5">
              <w:rPr>
                <w:rFonts w:asciiTheme="minorHAnsi" w:hAnsiTheme="minorHAnsi" w:cs="AgendaPl BoldCondensed"/>
                <w:b/>
                <w:bCs/>
              </w:rPr>
              <w:t xml:space="preserve">RACHUNEK </w:t>
            </w:r>
            <w:r w:rsidR="00944131" w:rsidRPr="00B06BD5">
              <w:rPr>
                <w:rFonts w:asciiTheme="minorHAnsi" w:hAnsiTheme="minorHAnsi" w:cs="AgendaPl BoldCondensed"/>
                <w:b/>
                <w:bCs/>
              </w:rPr>
              <w:t>PRAWDOPODOBIEŃSTW</w:t>
            </w:r>
            <w:r w:rsidR="00406CF9" w:rsidRPr="00B06BD5">
              <w:rPr>
                <w:rFonts w:asciiTheme="minorHAnsi" w:hAnsiTheme="minorHAnsi" w:cs="AgendaPl BoldCondensed"/>
                <w:b/>
                <w:bCs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 xml:space="preserve">Wprowadzenie </w:t>
            </w:r>
            <w:r w:rsidRPr="000366A8">
              <w:rPr>
                <w:rFonts w:asciiTheme="minorHAnsi" w:eastAsia="Calibri" w:hAnsiTheme="minorHAnsi" w:cs="Times New Roman"/>
              </w:rPr>
              <w:lastRenderedPageBreak/>
              <w:t>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zlicza elementy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 xml:space="preserve">ia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rozumie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B06BD5">
        <w:tc>
          <w:tcPr>
            <w:tcW w:w="14159" w:type="dxa"/>
            <w:gridSpan w:val="6"/>
            <w:shd w:val="clear" w:color="auto" w:fill="auto"/>
          </w:tcPr>
          <w:p w14:paraId="5AFA9145" w14:textId="77777777" w:rsidR="00F833C8" w:rsidRPr="00B06BD5" w:rsidRDefault="00040051" w:rsidP="00406CF9">
            <w:pPr>
              <w:pStyle w:val="Pa3"/>
              <w:jc w:val="center"/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lastRenderedPageBreak/>
              <w:t>D</w:t>
            </w:r>
            <w:r w:rsidR="000366A8" w:rsidRPr="00B06BD5">
              <w:rPr>
                <w:rFonts w:asciiTheme="minorHAnsi" w:hAnsiTheme="minorHAnsi" w:cs="AgendaPl BoldCondensed"/>
                <w:b/>
                <w:bCs/>
              </w:rPr>
              <w:t>ZIAŁ</w:t>
            </w:r>
            <w:r w:rsidRPr="00B06BD5">
              <w:rPr>
                <w:rFonts w:asciiTheme="minorHAnsi" w:hAnsiTheme="minorHAnsi" w:cs="AgendaPl BoldCondensed"/>
                <w:b/>
                <w:bCs/>
              </w:rPr>
              <w:t xml:space="preserve"> 6. </w:t>
            </w:r>
            <w:r w:rsidR="00406CF9" w:rsidRPr="00B06BD5">
              <w:rPr>
                <w:rFonts w:asciiTheme="minorHAnsi" w:hAnsiTheme="minorHAnsi" w:cs="AgendaPl BoldCondensed"/>
                <w:b/>
                <w:bCs/>
              </w:rPr>
              <w:t>POWTÓRZENIE</w:t>
            </w:r>
          </w:p>
        </w:tc>
      </w:tr>
      <w:tr w:rsidR="00AE29D8" w:rsidRPr="009B498E" w14:paraId="3EDBACD6" w14:textId="77777777" w:rsidTr="00B06BD5">
        <w:tc>
          <w:tcPr>
            <w:tcW w:w="14159" w:type="dxa"/>
            <w:gridSpan w:val="6"/>
            <w:shd w:val="clear" w:color="auto" w:fill="auto"/>
          </w:tcPr>
          <w:p w14:paraId="02602E45" w14:textId="77777777" w:rsidR="00AE29D8" w:rsidRPr="00B06BD5" w:rsidRDefault="00040051" w:rsidP="00406CF9">
            <w:pPr>
              <w:jc w:val="center"/>
              <w:rPr>
                <w:sz w:val="24"/>
                <w:szCs w:val="24"/>
              </w:rPr>
            </w:pPr>
            <w:r w:rsidRPr="00B06BD5">
              <w:rPr>
                <w:b/>
                <w:sz w:val="24"/>
                <w:szCs w:val="24"/>
              </w:rPr>
              <w:t>D</w:t>
            </w:r>
            <w:r w:rsidR="000366A8" w:rsidRPr="00B06BD5">
              <w:rPr>
                <w:b/>
                <w:sz w:val="24"/>
                <w:szCs w:val="24"/>
              </w:rPr>
              <w:t>ZIAŁ</w:t>
            </w:r>
            <w:r w:rsidRPr="00B06BD5">
              <w:rPr>
                <w:b/>
                <w:sz w:val="24"/>
                <w:szCs w:val="24"/>
              </w:rPr>
              <w:t xml:space="preserve"> 7</w:t>
            </w:r>
            <w:r w:rsidR="00AE29D8" w:rsidRPr="00B06BD5">
              <w:rPr>
                <w:b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pierścienia kołowego o danych promieniach lub średnicach okręgów tworzących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B06BD5">
        <w:tc>
          <w:tcPr>
            <w:tcW w:w="14159" w:type="dxa"/>
            <w:gridSpan w:val="6"/>
            <w:shd w:val="clear" w:color="auto" w:fill="auto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lastRenderedPageBreak/>
              <w:t>D</w:t>
            </w:r>
            <w:r w:rsidR="000366A8" w:rsidRPr="00B06BD5">
              <w:rPr>
                <w:rFonts w:asciiTheme="minorHAnsi" w:hAnsiTheme="minorHAnsi" w:cs="AgendaPl BoldCondensed"/>
                <w:b/>
                <w:bCs/>
              </w:rPr>
              <w:t xml:space="preserve">ZIAŁ </w:t>
            </w:r>
            <w:r w:rsidR="00507711" w:rsidRPr="00B06BD5">
              <w:rPr>
                <w:rFonts w:asciiTheme="minorHAnsi" w:hAnsiTheme="minorHAnsi" w:cs="AgendaPl BoldCondensed"/>
                <w:b/>
                <w:bCs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do zliczania par elementów 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dodawania do 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B06BD5">
        <w:tc>
          <w:tcPr>
            <w:tcW w:w="14159" w:type="dxa"/>
            <w:gridSpan w:val="6"/>
            <w:shd w:val="clear" w:color="auto" w:fill="auto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B06BD5">
              <w:rPr>
                <w:rFonts w:asciiTheme="minorHAnsi" w:hAnsiTheme="minorHAnsi" w:cs="AgendaPl BoldCondensed"/>
                <w:b/>
                <w:bCs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odcinka i dwusieczna 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konstruuje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własności symetralnej 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dowody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Default="00657A05" w:rsidP="00657A05"/>
    <w:p w14:paraId="6910C473" w14:textId="07672011" w:rsidR="006F06DF" w:rsidRPr="006F06DF" w:rsidRDefault="006F06DF" w:rsidP="00657A05">
      <w:pPr>
        <w:rPr>
          <w:sz w:val="24"/>
          <w:szCs w:val="24"/>
        </w:rPr>
      </w:pPr>
      <w:r w:rsidRPr="006F06DF">
        <w:rPr>
          <w:rFonts w:ascii="Calibri" w:hAnsi="Calibri" w:cs="Calibri"/>
          <w:b/>
          <w:bCs/>
          <w:iCs/>
          <w:sz w:val="24"/>
          <w:szCs w:val="24"/>
        </w:rPr>
        <w:t xml:space="preserve">Ocena niedostateczna- </w:t>
      </w:r>
      <w:r w:rsidRPr="006F06DF">
        <w:rPr>
          <w:rFonts w:ascii="Calibri" w:hAnsi="Calibri" w:cs="Calibri"/>
          <w:bCs/>
          <w:iCs/>
          <w:sz w:val="24"/>
          <w:szCs w:val="24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</w:p>
    <w:sectPr w:rsidR="006F06DF" w:rsidRPr="006F06DF" w:rsidSect="00657A05">
      <w:headerReference w:type="default" r:id="rId35"/>
      <w:foot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8345" w14:textId="77777777" w:rsidR="00290B01" w:rsidRDefault="00290B01" w:rsidP="00235EEE">
      <w:pPr>
        <w:spacing w:after="0" w:line="240" w:lineRule="auto"/>
      </w:pPr>
      <w:r>
        <w:separator/>
      </w:r>
    </w:p>
  </w:endnote>
  <w:endnote w:type="continuationSeparator" w:id="0">
    <w:p w14:paraId="2607C90C" w14:textId="77777777" w:rsidR="00290B01" w:rsidRDefault="00290B01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4320" w14:textId="405D87DA" w:rsidR="006F06DF" w:rsidRDefault="006F06DF">
    <w:pPr>
      <w:pStyle w:val="Stopka"/>
    </w:pPr>
  </w:p>
  <w:p w14:paraId="46C992DE" w14:textId="28FFC542" w:rsidR="00BD0057" w:rsidRDefault="00BD00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F29F" w14:textId="77777777" w:rsidR="00290B01" w:rsidRDefault="00290B01" w:rsidP="00235EEE">
      <w:pPr>
        <w:spacing w:after="0" w:line="240" w:lineRule="auto"/>
      </w:pPr>
      <w:r>
        <w:separator/>
      </w:r>
    </w:p>
  </w:footnote>
  <w:footnote w:type="continuationSeparator" w:id="0">
    <w:p w14:paraId="4B40EB26" w14:textId="77777777" w:rsidR="00290B01" w:rsidRDefault="00290B01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E0FA" w14:textId="2016C1C0" w:rsidR="006F06DF" w:rsidRDefault="006F06DF">
    <w:pPr>
      <w:pStyle w:val="Nagwek"/>
    </w:pPr>
  </w:p>
  <w:p w14:paraId="321ED3EE" w14:textId="2A6DEB05" w:rsidR="00BD0057" w:rsidRDefault="00BD0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4000AE6A"/>
    <w:lvl w:ilvl="0" w:tplc="90D0003E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63E57"/>
    <w:rsid w:val="00070E35"/>
    <w:rsid w:val="000807BC"/>
    <w:rsid w:val="00080F10"/>
    <w:rsid w:val="000942BA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90B01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06DF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679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06BD5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  <w15:docId w15:val="{D34A4B08-37C0-4D77-B6F6-F776120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12</cp:revision>
  <dcterms:created xsi:type="dcterms:W3CDTF">2018-04-12T14:53:00Z</dcterms:created>
  <dcterms:modified xsi:type="dcterms:W3CDTF">2023-04-19T08:02:00Z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